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FE00" w14:textId="77777777" w:rsidR="005E70D4" w:rsidRPr="005E70D4" w:rsidRDefault="005E70D4" w:rsidP="005E70D4">
      <w:pPr>
        <w:spacing w:after="920" w:line="259" w:lineRule="auto"/>
        <w:ind w:left="0"/>
        <w:jc w:val="center"/>
        <w:rPr>
          <w:sz w:val="22"/>
          <w:szCs w:val="22"/>
        </w:rPr>
      </w:pPr>
      <w:r w:rsidRPr="005E70D4">
        <w:rPr>
          <w:b/>
          <w:noProof/>
          <w:lang w:eastAsia="en-GB"/>
        </w:rPr>
        <w:drawing>
          <wp:inline distT="0" distB="0" distL="0" distR="0" wp14:anchorId="51AA5115" wp14:editId="0DF560C8">
            <wp:extent cx="2110740" cy="723862"/>
            <wp:effectExtent l="0" t="0" r="3810" b="635"/>
            <wp:docPr id="7" name="Picture 6" descr="East Sussex Safeguarding Adult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East Sussex Safeguarding Adults Boar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3202" cy="738424"/>
                    </a:xfrm>
                    <a:prstGeom prst="rect">
                      <a:avLst/>
                    </a:prstGeom>
                  </pic:spPr>
                </pic:pic>
              </a:graphicData>
            </a:graphic>
          </wp:inline>
        </w:drawing>
      </w:r>
    </w:p>
    <w:p w14:paraId="09781341" w14:textId="79AF717A" w:rsidR="005E70D4" w:rsidRPr="005E70D4" w:rsidRDefault="005E70D4" w:rsidP="005E70D4">
      <w:pPr>
        <w:ind w:left="0"/>
        <w:jc w:val="center"/>
        <w:rPr>
          <w:sz w:val="80"/>
          <w:szCs w:val="80"/>
        </w:rPr>
      </w:pPr>
      <w:r w:rsidRPr="005E70D4">
        <w:rPr>
          <w:b/>
          <w:bCs/>
          <w:sz w:val="80"/>
          <w:szCs w:val="80"/>
          <w:lang w:eastAsia="en-GB"/>
        </w:rPr>
        <w:t>Multi</w:t>
      </w:r>
      <w:r w:rsidR="004E2E7F">
        <w:rPr>
          <w:b/>
          <w:bCs/>
          <w:sz w:val="80"/>
          <w:szCs w:val="80"/>
          <w:lang w:eastAsia="en-GB"/>
        </w:rPr>
        <w:t>-</w:t>
      </w:r>
      <w:r w:rsidRPr="005E70D4">
        <w:rPr>
          <w:b/>
          <w:bCs/>
          <w:sz w:val="80"/>
          <w:szCs w:val="80"/>
          <w:lang w:eastAsia="en-GB"/>
        </w:rPr>
        <w:t>Agency Risk Management (MARM) Protocol</w:t>
      </w:r>
    </w:p>
    <w:p w14:paraId="5B3C649A" w14:textId="44254952" w:rsidR="005E70D4" w:rsidRPr="005E70D4" w:rsidRDefault="005E70D4" w:rsidP="005E70D4">
      <w:pPr>
        <w:spacing w:after="1680"/>
        <w:ind w:left="0"/>
        <w:jc w:val="center"/>
        <w:rPr>
          <w:b/>
          <w:sz w:val="40"/>
          <w:szCs w:val="40"/>
        </w:rPr>
      </w:pPr>
      <w:r w:rsidRPr="005E70D4">
        <w:rPr>
          <w:b/>
          <w:bCs/>
          <w:sz w:val="40"/>
          <w:szCs w:val="40"/>
          <w:lang w:eastAsia="en-GB"/>
        </w:rPr>
        <w:t>Version 1</w:t>
      </w:r>
      <w:r w:rsidRPr="005E70D4">
        <w:rPr>
          <w:b/>
          <w:bCs/>
          <w:color w:val="C00000"/>
          <w:sz w:val="40"/>
          <w:szCs w:val="40"/>
          <w:lang w:eastAsia="en-GB"/>
        </w:rPr>
        <w:t xml:space="preserve"> </w:t>
      </w:r>
      <w:r w:rsidRPr="005E70D4">
        <w:rPr>
          <w:b/>
          <w:color w:val="C00000"/>
          <w:sz w:val="40"/>
          <w:szCs w:val="40"/>
          <w:lang w:eastAsia="en-GB"/>
        </w:rPr>
        <w:t xml:space="preserve">• </w:t>
      </w:r>
      <w:r w:rsidR="004F6BCE" w:rsidRPr="00423521">
        <w:rPr>
          <w:b/>
          <w:sz w:val="40"/>
          <w:szCs w:val="40"/>
          <w:lang w:eastAsia="en-GB"/>
        </w:rPr>
        <w:t>December</w:t>
      </w:r>
      <w:r w:rsidR="00F805DD" w:rsidRPr="00423521">
        <w:rPr>
          <w:b/>
          <w:sz w:val="40"/>
          <w:szCs w:val="40"/>
          <w:lang w:eastAsia="en-GB"/>
        </w:rPr>
        <w:t xml:space="preserve"> </w:t>
      </w:r>
      <w:r w:rsidRPr="00423521">
        <w:rPr>
          <w:b/>
          <w:sz w:val="40"/>
          <w:szCs w:val="40"/>
          <w:lang w:eastAsia="en-GB"/>
        </w:rPr>
        <w:t>2021</w:t>
      </w:r>
    </w:p>
    <w:tbl>
      <w:tblPr>
        <w:tblStyle w:val="TableGrid"/>
        <w:tblW w:w="0" w:type="auto"/>
        <w:jc w:val="center"/>
        <w:tblLayout w:type="fixed"/>
        <w:tblCellMar>
          <w:top w:w="85" w:type="dxa"/>
          <w:bottom w:w="85" w:type="dxa"/>
        </w:tblCellMar>
        <w:tblLook w:val="04A0" w:firstRow="1" w:lastRow="0" w:firstColumn="1" w:lastColumn="0" w:noHBand="0" w:noVBand="1"/>
        <w:tblCaption w:val="Document Version Details"/>
      </w:tblPr>
      <w:tblGrid>
        <w:gridCol w:w="2693"/>
        <w:gridCol w:w="5528"/>
      </w:tblGrid>
      <w:tr w:rsidR="005E70D4" w:rsidRPr="005E70D4" w14:paraId="224D9520" w14:textId="77777777" w:rsidTr="0041468B">
        <w:trPr>
          <w:tblHeader/>
          <w:jc w:val="center"/>
        </w:trPr>
        <w:tc>
          <w:tcPr>
            <w:tcW w:w="2693" w:type="dxa"/>
            <w:shd w:val="clear" w:color="auto" w:fill="auto"/>
          </w:tcPr>
          <w:p w14:paraId="36EC58CA" w14:textId="77777777" w:rsidR="005E70D4" w:rsidRPr="00707EB7" w:rsidRDefault="005E70D4" w:rsidP="00707EB7">
            <w:pPr>
              <w:pStyle w:val="BodyText"/>
              <w:rPr>
                <w:rFonts w:ascii="Arial" w:hAnsi="Arial"/>
                <w:b/>
                <w:bCs/>
              </w:rPr>
            </w:pPr>
            <w:r w:rsidRPr="00707EB7">
              <w:rPr>
                <w:rFonts w:ascii="Arial" w:hAnsi="Arial"/>
                <w:b/>
                <w:bCs/>
              </w:rPr>
              <w:t>Document properties</w:t>
            </w:r>
          </w:p>
        </w:tc>
        <w:tc>
          <w:tcPr>
            <w:tcW w:w="5528" w:type="dxa"/>
            <w:shd w:val="clear" w:color="auto" w:fill="auto"/>
          </w:tcPr>
          <w:p w14:paraId="241705FE" w14:textId="77777777" w:rsidR="005E70D4" w:rsidRPr="00707EB7" w:rsidRDefault="005E70D4" w:rsidP="00707EB7">
            <w:pPr>
              <w:pStyle w:val="BodyText"/>
              <w:rPr>
                <w:rFonts w:ascii="Arial" w:hAnsi="Arial"/>
                <w:b/>
                <w:bCs/>
              </w:rPr>
            </w:pPr>
            <w:r w:rsidRPr="00707EB7">
              <w:rPr>
                <w:rFonts w:ascii="Arial" w:hAnsi="Arial"/>
                <w:b/>
                <w:bCs/>
              </w:rPr>
              <w:t>Version details</w:t>
            </w:r>
          </w:p>
        </w:tc>
      </w:tr>
      <w:tr w:rsidR="005E70D4" w:rsidRPr="005E70D4" w14:paraId="48A4B45D" w14:textId="77777777" w:rsidTr="0041468B">
        <w:trPr>
          <w:jc w:val="center"/>
        </w:trPr>
        <w:tc>
          <w:tcPr>
            <w:tcW w:w="2693" w:type="dxa"/>
            <w:shd w:val="clear" w:color="auto" w:fill="auto"/>
          </w:tcPr>
          <w:p w14:paraId="155EBAC7" w14:textId="77777777" w:rsidR="005E70D4" w:rsidRPr="00707EB7" w:rsidRDefault="005E70D4" w:rsidP="00707EB7">
            <w:pPr>
              <w:pStyle w:val="BodyText"/>
              <w:rPr>
                <w:rFonts w:ascii="Arial" w:hAnsi="Arial"/>
              </w:rPr>
            </w:pPr>
            <w:r w:rsidRPr="00707EB7">
              <w:rPr>
                <w:rFonts w:ascii="Arial" w:hAnsi="Arial"/>
              </w:rPr>
              <w:t>Document name</w:t>
            </w:r>
          </w:p>
        </w:tc>
        <w:tc>
          <w:tcPr>
            <w:tcW w:w="5528" w:type="dxa"/>
            <w:shd w:val="clear" w:color="auto" w:fill="auto"/>
          </w:tcPr>
          <w:p w14:paraId="6E302913" w14:textId="78A8BAE0" w:rsidR="005E70D4" w:rsidRPr="00707EB7" w:rsidRDefault="005E70D4" w:rsidP="00707EB7">
            <w:pPr>
              <w:pStyle w:val="BodyText"/>
              <w:rPr>
                <w:rFonts w:ascii="Arial" w:hAnsi="Arial"/>
              </w:rPr>
            </w:pPr>
            <w:r w:rsidRPr="00707EB7">
              <w:rPr>
                <w:rFonts w:ascii="Arial" w:hAnsi="Arial"/>
              </w:rPr>
              <w:t>Multi</w:t>
            </w:r>
            <w:r w:rsidR="004E2E7F">
              <w:rPr>
                <w:rFonts w:ascii="Arial" w:hAnsi="Arial"/>
              </w:rPr>
              <w:t>-</w:t>
            </w:r>
            <w:r w:rsidRPr="00707EB7">
              <w:rPr>
                <w:rFonts w:ascii="Arial" w:hAnsi="Arial"/>
              </w:rPr>
              <w:t>Agency Risk Management (MARM) Protocol</w:t>
            </w:r>
          </w:p>
        </w:tc>
      </w:tr>
      <w:tr w:rsidR="005E70D4" w:rsidRPr="005E70D4" w14:paraId="2BB0B9A9" w14:textId="77777777" w:rsidTr="0041468B">
        <w:trPr>
          <w:jc w:val="center"/>
        </w:trPr>
        <w:tc>
          <w:tcPr>
            <w:tcW w:w="2693" w:type="dxa"/>
            <w:shd w:val="clear" w:color="auto" w:fill="auto"/>
          </w:tcPr>
          <w:p w14:paraId="71A8345D" w14:textId="77777777" w:rsidR="005E70D4" w:rsidRPr="00707EB7" w:rsidRDefault="005E70D4" w:rsidP="00707EB7">
            <w:pPr>
              <w:pStyle w:val="BodyText"/>
              <w:rPr>
                <w:rFonts w:ascii="Arial" w:hAnsi="Arial"/>
              </w:rPr>
            </w:pPr>
            <w:r w:rsidRPr="00707EB7">
              <w:rPr>
                <w:rFonts w:ascii="Arial" w:hAnsi="Arial"/>
              </w:rPr>
              <w:t>Document owners</w:t>
            </w:r>
          </w:p>
        </w:tc>
        <w:tc>
          <w:tcPr>
            <w:tcW w:w="5528" w:type="dxa"/>
            <w:shd w:val="clear" w:color="auto" w:fill="auto"/>
          </w:tcPr>
          <w:p w14:paraId="5CEDD928" w14:textId="43AE590A" w:rsidR="005E70D4" w:rsidRPr="00707EB7" w:rsidRDefault="005E70D4" w:rsidP="00707EB7">
            <w:pPr>
              <w:pStyle w:val="BodyText"/>
              <w:rPr>
                <w:rFonts w:ascii="Arial" w:hAnsi="Arial"/>
              </w:rPr>
            </w:pPr>
            <w:r w:rsidRPr="00707EB7">
              <w:rPr>
                <w:rFonts w:ascii="Arial" w:hAnsi="Arial"/>
              </w:rPr>
              <w:t>East Sussex Safeguarding Adults Board</w:t>
            </w:r>
            <w:r w:rsidR="009513C6">
              <w:rPr>
                <w:rFonts w:ascii="Arial" w:hAnsi="Arial"/>
              </w:rPr>
              <w:t xml:space="preserve"> (SAB)</w:t>
            </w:r>
          </w:p>
        </w:tc>
      </w:tr>
      <w:tr w:rsidR="005E70D4" w:rsidRPr="005E70D4" w14:paraId="2E4337B6" w14:textId="77777777" w:rsidTr="0041468B">
        <w:trPr>
          <w:jc w:val="center"/>
        </w:trPr>
        <w:tc>
          <w:tcPr>
            <w:tcW w:w="2693" w:type="dxa"/>
            <w:shd w:val="clear" w:color="auto" w:fill="auto"/>
          </w:tcPr>
          <w:p w14:paraId="35CF51FA" w14:textId="77777777" w:rsidR="005E70D4" w:rsidRPr="00707EB7" w:rsidRDefault="005E70D4" w:rsidP="00707EB7">
            <w:pPr>
              <w:pStyle w:val="BodyText"/>
              <w:rPr>
                <w:rFonts w:ascii="Arial" w:hAnsi="Arial"/>
              </w:rPr>
            </w:pPr>
            <w:r w:rsidRPr="00707EB7">
              <w:rPr>
                <w:rFonts w:ascii="Arial" w:hAnsi="Arial"/>
              </w:rPr>
              <w:t>Version</w:t>
            </w:r>
          </w:p>
        </w:tc>
        <w:tc>
          <w:tcPr>
            <w:tcW w:w="5528" w:type="dxa"/>
            <w:shd w:val="clear" w:color="auto" w:fill="auto"/>
          </w:tcPr>
          <w:p w14:paraId="6D88A588" w14:textId="63CF61DF" w:rsidR="005E70D4" w:rsidRPr="00707EB7" w:rsidRDefault="005E70D4" w:rsidP="00707EB7">
            <w:pPr>
              <w:pStyle w:val="BodyText"/>
              <w:rPr>
                <w:rFonts w:ascii="Arial" w:hAnsi="Arial"/>
              </w:rPr>
            </w:pPr>
            <w:r w:rsidRPr="00707EB7">
              <w:rPr>
                <w:rFonts w:ascii="Arial" w:hAnsi="Arial"/>
              </w:rPr>
              <w:t>1</w:t>
            </w:r>
          </w:p>
        </w:tc>
      </w:tr>
      <w:tr w:rsidR="005E70D4" w:rsidRPr="005E70D4" w14:paraId="1C973FDB" w14:textId="77777777" w:rsidTr="0041468B">
        <w:trPr>
          <w:jc w:val="center"/>
        </w:trPr>
        <w:tc>
          <w:tcPr>
            <w:tcW w:w="2693" w:type="dxa"/>
            <w:shd w:val="clear" w:color="auto" w:fill="auto"/>
          </w:tcPr>
          <w:p w14:paraId="63BD0AC5" w14:textId="77777777" w:rsidR="005E70D4" w:rsidRPr="00707EB7" w:rsidRDefault="005E70D4" w:rsidP="00707EB7">
            <w:pPr>
              <w:pStyle w:val="BodyText"/>
              <w:rPr>
                <w:rFonts w:ascii="Arial" w:hAnsi="Arial"/>
              </w:rPr>
            </w:pPr>
            <w:r w:rsidRPr="00707EB7">
              <w:rPr>
                <w:rFonts w:ascii="Arial" w:hAnsi="Arial"/>
              </w:rPr>
              <w:t>Previous version</w:t>
            </w:r>
          </w:p>
        </w:tc>
        <w:tc>
          <w:tcPr>
            <w:tcW w:w="5528" w:type="dxa"/>
            <w:shd w:val="clear" w:color="auto" w:fill="auto"/>
          </w:tcPr>
          <w:p w14:paraId="6653169C" w14:textId="598F4B73" w:rsidR="005E70D4" w:rsidRPr="00707EB7" w:rsidRDefault="00F805DD" w:rsidP="00707EB7">
            <w:pPr>
              <w:pStyle w:val="BodyText"/>
              <w:rPr>
                <w:rFonts w:ascii="Arial" w:hAnsi="Arial"/>
              </w:rPr>
            </w:pPr>
            <w:r>
              <w:rPr>
                <w:rFonts w:ascii="Arial" w:hAnsi="Arial"/>
              </w:rPr>
              <w:t>None</w:t>
            </w:r>
          </w:p>
        </w:tc>
      </w:tr>
      <w:tr w:rsidR="005E70D4" w:rsidRPr="005E70D4" w14:paraId="0477621C" w14:textId="77777777" w:rsidTr="0041468B">
        <w:trPr>
          <w:jc w:val="center"/>
        </w:trPr>
        <w:tc>
          <w:tcPr>
            <w:tcW w:w="2693" w:type="dxa"/>
            <w:shd w:val="clear" w:color="auto" w:fill="auto"/>
          </w:tcPr>
          <w:p w14:paraId="71797E96" w14:textId="77777777" w:rsidR="005E70D4" w:rsidRPr="00707EB7" w:rsidRDefault="005E70D4" w:rsidP="00707EB7">
            <w:pPr>
              <w:pStyle w:val="BodyText"/>
              <w:rPr>
                <w:rFonts w:ascii="Arial" w:hAnsi="Arial"/>
              </w:rPr>
            </w:pPr>
            <w:r w:rsidRPr="00707EB7">
              <w:rPr>
                <w:rFonts w:ascii="Arial" w:hAnsi="Arial"/>
              </w:rPr>
              <w:t>Review plan</w:t>
            </w:r>
          </w:p>
        </w:tc>
        <w:tc>
          <w:tcPr>
            <w:tcW w:w="5528" w:type="dxa"/>
            <w:shd w:val="clear" w:color="auto" w:fill="auto"/>
          </w:tcPr>
          <w:p w14:paraId="5CFA2C03" w14:textId="77777777" w:rsidR="005E70D4" w:rsidRPr="00707EB7" w:rsidRDefault="005E70D4" w:rsidP="00707EB7">
            <w:pPr>
              <w:pStyle w:val="BodyText"/>
              <w:rPr>
                <w:rFonts w:ascii="Arial" w:hAnsi="Arial"/>
              </w:rPr>
            </w:pPr>
            <w:r w:rsidRPr="00707EB7">
              <w:rPr>
                <w:rFonts w:ascii="Arial" w:hAnsi="Arial"/>
              </w:rPr>
              <w:t>The protocol will be reviewed at six months and then yearly.</w:t>
            </w:r>
          </w:p>
        </w:tc>
      </w:tr>
      <w:tr w:rsidR="005E70D4" w:rsidRPr="005E70D4" w14:paraId="35CEDC74" w14:textId="77777777" w:rsidTr="0041468B">
        <w:trPr>
          <w:jc w:val="center"/>
        </w:trPr>
        <w:tc>
          <w:tcPr>
            <w:tcW w:w="2693" w:type="dxa"/>
            <w:shd w:val="clear" w:color="auto" w:fill="auto"/>
          </w:tcPr>
          <w:p w14:paraId="72FB78AD" w14:textId="77777777" w:rsidR="005E70D4" w:rsidRPr="00707EB7" w:rsidRDefault="005E70D4" w:rsidP="00707EB7">
            <w:pPr>
              <w:pStyle w:val="BodyText"/>
              <w:rPr>
                <w:rFonts w:ascii="Arial" w:hAnsi="Arial"/>
              </w:rPr>
            </w:pPr>
            <w:r w:rsidRPr="00707EB7">
              <w:rPr>
                <w:rFonts w:ascii="Arial" w:hAnsi="Arial"/>
              </w:rPr>
              <w:t>Review date</w:t>
            </w:r>
          </w:p>
        </w:tc>
        <w:tc>
          <w:tcPr>
            <w:tcW w:w="5528" w:type="dxa"/>
            <w:shd w:val="clear" w:color="auto" w:fill="auto"/>
          </w:tcPr>
          <w:p w14:paraId="34518101" w14:textId="657A9EE3" w:rsidR="005E70D4" w:rsidRPr="00707EB7" w:rsidRDefault="009513C6" w:rsidP="00707EB7">
            <w:pPr>
              <w:pStyle w:val="BodyText"/>
              <w:rPr>
                <w:rFonts w:ascii="Arial" w:hAnsi="Arial"/>
              </w:rPr>
            </w:pPr>
            <w:r>
              <w:rPr>
                <w:rFonts w:ascii="Arial" w:hAnsi="Arial"/>
              </w:rPr>
              <w:t>June 2022</w:t>
            </w:r>
          </w:p>
        </w:tc>
      </w:tr>
    </w:tbl>
    <w:p w14:paraId="012CEBE2" w14:textId="129AB811" w:rsidR="00707EB7" w:rsidRDefault="005E70D4" w:rsidP="00707EB7">
      <w:pPr>
        <w:pStyle w:val="BodyText"/>
        <w:spacing w:before="720"/>
        <w:jc w:val="center"/>
      </w:pPr>
      <w:r w:rsidRPr="005E70D4">
        <w:t>With thanks to West Sussex SAB and West of Berkshire Safeguarding Adults Partnership Board, from whose Protocol</w:t>
      </w:r>
      <w:r w:rsidR="009513C6">
        <w:t>s</w:t>
      </w:r>
      <w:r w:rsidRPr="005E70D4">
        <w:t xml:space="preserve"> this document was developed.</w:t>
      </w:r>
    </w:p>
    <w:p w14:paraId="2194E0C5" w14:textId="77777777" w:rsidR="00707EB7" w:rsidRDefault="00707EB7" w:rsidP="00707EB7">
      <w:pPr>
        <w:pStyle w:val="BodyText"/>
      </w:pPr>
    </w:p>
    <w:p w14:paraId="05DF45E7" w14:textId="61896D08" w:rsidR="00707EB7" w:rsidRDefault="00707EB7" w:rsidP="00707EB7">
      <w:pPr>
        <w:pStyle w:val="BodyText"/>
        <w:sectPr w:rsidR="00707EB7" w:rsidSect="00707EB7">
          <w:footerReference w:type="default" r:id="rId14"/>
          <w:pgSz w:w="11906" w:h="16838" w:code="9"/>
          <w:pgMar w:top="1134" w:right="1418" w:bottom="1134" w:left="1418" w:header="567" w:footer="567" w:gutter="0"/>
          <w:cols w:space="708"/>
          <w:docGrid w:linePitch="360"/>
        </w:sectPr>
      </w:pPr>
    </w:p>
    <w:p w14:paraId="4C0A27BD" w14:textId="0D4BFF3F" w:rsidR="008D6824" w:rsidRPr="00692A74" w:rsidRDefault="008D6824" w:rsidP="00FC52F3">
      <w:pPr>
        <w:ind w:left="0"/>
        <w:rPr>
          <w:rFonts w:ascii="Arial Bold" w:eastAsia="Times New Roman" w:hAnsi="Arial Bold"/>
          <w:b/>
          <w:sz w:val="36"/>
          <w:szCs w:val="36"/>
        </w:rPr>
      </w:pPr>
      <w:r w:rsidRPr="00692A74">
        <w:rPr>
          <w:rFonts w:ascii="Arial Bold" w:eastAsia="Times New Roman" w:hAnsi="Arial Bold"/>
          <w:b/>
          <w:sz w:val="36"/>
          <w:szCs w:val="36"/>
        </w:rPr>
        <w:lastRenderedPageBreak/>
        <w:t>Contents</w:t>
      </w:r>
    </w:p>
    <w:p w14:paraId="3CA36570" w14:textId="77777777" w:rsidR="008D6824" w:rsidRDefault="008D6824" w:rsidP="00FC52F3">
      <w:pPr>
        <w:tabs>
          <w:tab w:val="left" w:pos="709"/>
          <w:tab w:val="left" w:pos="1134"/>
          <w:tab w:val="left" w:pos="1559"/>
          <w:tab w:val="left" w:pos="1985"/>
          <w:tab w:val="left" w:pos="2410"/>
          <w:tab w:val="left" w:pos="2835"/>
          <w:tab w:val="left" w:pos="3260"/>
          <w:tab w:val="left" w:pos="3686"/>
          <w:tab w:val="left" w:pos="4111"/>
          <w:tab w:val="left" w:pos="4536"/>
          <w:tab w:val="left" w:pos="4961"/>
          <w:tab w:val="left" w:pos="5387"/>
          <w:tab w:val="left" w:pos="5812"/>
          <w:tab w:val="left" w:pos="6237"/>
          <w:tab w:val="left" w:pos="6662"/>
          <w:tab w:val="left" w:pos="7088"/>
          <w:tab w:val="left" w:pos="7513"/>
          <w:tab w:val="left" w:pos="7938"/>
          <w:tab w:val="right" w:pos="8505"/>
        </w:tabs>
        <w:ind w:left="567" w:right="567"/>
        <w:rPr>
          <w:rFonts w:eastAsia="Times New Roman"/>
          <w:lang w:eastAsia="en-GB"/>
        </w:rPr>
      </w:pPr>
    </w:p>
    <w:p w14:paraId="6377431E" w14:textId="77777777" w:rsidR="00BC06A4" w:rsidRDefault="00BC06A4" w:rsidP="00BC06A4">
      <w:pPr>
        <w:tabs>
          <w:tab w:val="left" w:pos="709"/>
          <w:tab w:val="left" w:pos="1134"/>
          <w:tab w:val="left" w:pos="1559"/>
          <w:tab w:val="left" w:pos="1985"/>
          <w:tab w:val="left" w:pos="2410"/>
          <w:tab w:val="left" w:pos="2835"/>
          <w:tab w:val="left" w:pos="3260"/>
          <w:tab w:val="left" w:pos="3686"/>
          <w:tab w:val="left" w:pos="4111"/>
          <w:tab w:val="left" w:pos="4536"/>
          <w:tab w:val="left" w:pos="4961"/>
          <w:tab w:val="left" w:pos="5387"/>
          <w:tab w:val="left" w:pos="5812"/>
          <w:tab w:val="left" w:pos="6237"/>
          <w:tab w:val="left" w:pos="6662"/>
          <w:tab w:val="left" w:pos="7088"/>
          <w:tab w:val="left" w:pos="7513"/>
          <w:tab w:val="left" w:pos="7938"/>
          <w:tab w:val="right" w:pos="8505"/>
        </w:tabs>
        <w:ind w:left="0" w:right="567"/>
        <w:rPr>
          <w:rFonts w:eastAsia="Times New Roman"/>
          <w:lang w:eastAsia="en-GB"/>
        </w:rPr>
      </w:pPr>
      <w:r>
        <w:rPr>
          <w:rFonts w:eastAsia="Times New Roman"/>
          <w:lang w:eastAsia="en-GB"/>
        </w:rPr>
        <w:t>CTRL + click to follow link</w:t>
      </w:r>
    </w:p>
    <w:p w14:paraId="7156B009" w14:textId="77777777" w:rsidR="00BC06A4" w:rsidRPr="00692A74" w:rsidRDefault="00BC06A4" w:rsidP="00BC06A4">
      <w:pPr>
        <w:tabs>
          <w:tab w:val="left" w:pos="709"/>
          <w:tab w:val="left" w:pos="1134"/>
          <w:tab w:val="left" w:pos="1559"/>
          <w:tab w:val="left" w:pos="1985"/>
          <w:tab w:val="left" w:pos="2410"/>
          <w:tab w:val="left" w:pos="2835"/>
          <w:tab w:val="left" w:pos="3260"/>
          <w:tab w:val="left" w:pos="3686"/>
          <w:tab w:val="left" w:pos="4111"/>
          <w:tab w:val="left" w:pos="4536"/>
          <w:tab w:val="left" w:pos="4961"/>
          <w:tab w:val="left" w:pos="5387"/>
          <w:tab w:val="left" w:pos="5812"/>
          <w:tab w:val="left" w:pos="6237"/>
          <w:tab w:val="left" w:pos="6662"/>
          <w:tab w:val="left" w:pos="7088"/>
          <w:tab w:val="left" w:pos="7513"/>
          <w:tab w:val="left" w:pos="7938"/>
          <w:tab w:val="right" w:pos="8505"/>
        </w:tabs>
        <w:ind w:left="567" w:right="567"/>
        <w:rPr>
          <w:rFonts w:eastAsia="Times New Roman"/>
          <w:lang w:eastAsia="en-GB"/>
        </w:rPr>
      </w:pPr>
    </w:p>
    <w:p w14:paraId="59179B3D" w14:textId="532D0215" w:rsidR="00575D70" w:rsidRDefault="00BC06A4">
      <w:pPr>
        <w:pStyle w:val="TOC1"/>
        <w:tabs>
          <w:tab w:val="right" w:leader="dot" w:pos="9487"/>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90565755" w:history="1">
        <w:r w:rsidR="00575D70" w:rsidRPr="002C0EFE">
          <w:rPr>
            <w:rStyle w:val="Hyperlink"/>
            <w:noProof/>
          </w:rPr>
          <w:t>Background</w:t>
        </w:r>
        <w:r w:rsidR="00575D70">
          <w:rPr>
            <w:noProof/>
            <w:webHidden/>
          </w:rPr>
          <w:tab/>
        </w:r>
        <w:r w:rsidR="00575D70">
          <w:rPr>
            <w:noProof/>
            <w:webHidden/>
          </w:rPr>
          <w:fldChar w:fldCharType="begin"/>
        </w:r>
        <w:r w:rsidR="00575D70">
          <w:rPr>
            <w:noProof/>
            <w:webHidden/>
          </w:rPr>
          <w:instrText xml:space="preserve"> PAGEREF _Toc90565755 \h </w:instrText>
        </w:r>
        <w:r w:rsidR="00575D70">
          <w:rPr>
            <w:noProof/>
            <w:webHidden/>
          </w:rPr>
        </w:r>
        <w:r w:rsidR="00575D70">
          <w:rPr>
            <w:noProof/>
            <w:webHidden/>
          </w:rPr>
          <w:fldChar w:fldCharType="separate"/>
        </w:r>
        <w:r w:rsidR="00157586">
          <w:rPr>
            <w:noProof/>
            <w:webHidden/>
          </w:rPr>
          <w:t>1</w:t>
        </w:r>
        <w:r w:rsidR="00575D70">
          <w:rPr>
            <w:noProof/>
            <w:webHidden/>
          </w:rPr>
          <w:fldChar w:fldCharType="end"/>
        </w:r>
      </w:hyperlink>
    </w:p>
    <w:p w14:paraId="79AB64C0" w14:textId="41BC9A91" w:rsidR="00575D70" w:rsidRDefault="00344786">
      <w:pPr>
        <w:pStyle w:val="TOC1"/>
        <w:tabs>
          <w:tab w:val="right" w:leader="dot" w:pos="9487"/>
        </w:tabs>
        <w:rPr>
          <w:rFonts w:asciiTheme="minorHAnsi" w:eastAsiaTheme="minorEastAsia" w:hAnsiTheme="minorHAnsi" w:cstheme="minorBidi"/>
          <w:noProof/>
          <w:sz w:val="22"/>
          <w:szCs w:val="22"/>
          <w:lang w:eastAsia="en-GB"/>
        </w:rPr>
      </w:pPr>
      <w:hyperlink w:anchor="_Toc90565756" w:history="1">
        <w:r w:rsidR="00575D70" w:rsidRPr="002C0EFE">
          <w:rPr>
            <w:rStyle w:val="Hyperlink"/>
            <w:noProof/>
          </w:rPr>
          <w:t>Purpose of the MARM group</w:t>
        </w:r>
        <w:r w:rsidR="00575D70">
          <w:rPr>
            <w:noProof/>
            <w:webHidden/>
          </w:rPr>
          <w:tab/>
        </w:r>
        <w:r w:rsidR="00575D70">
          <w:rPr>
            <w:noProof/>
            <w:webHidden/>
          </w:rPr>
          <w:fldChar w:fldCharType="begin"/>
        </w:r>
        <w:r w:rsidR="00575D70">
          <w:rPr>
            <w:noProof/>
            <w:webHidden/>
          </w:rPr>
          <w:instrText xml:space="preserve"> PAGEREF _Toc90565756 \h </w:instrText>
        </w:r>
        <w:r w:rsidR="00575D70">
          <w:rPr>
            <w:noProof/>
            <w:webHidden/>
          </w:rPr>
        </w:r>
        <w:r w:rsidR="00575D70">
          <w:rPr>
            <w:noProof/>
            <w:webHidden/>
          </w:rPr>
          <w:fldChar w:fldCharType="separate"/>
        </w:r>
        <w:r w:rsidR="00157586">
          <w:rPr>
            <w:noProof/>
            <w:webHidden/>
          </w:rPr>
          <w:t>1</w:t>
        </w:r>
        <w:r w:rsidR="00575D70">
          <w:rPr>
            <w:noProof/>
            <w:webHidden/>
          </w:rPr>
          <w:fldChar w:fldCharType="end"/>
        </w:r>
      </w:hyperlink>
    </w:p>
    <w:p w14:paraId="3F4501AD" w14:textId="5683E940" w:rsidR="00575D70" w:rsidRDefault="00344786">
      <w:pPr>
        <w:pStyle w:val="TOC1"/>
        <w:tabs>
          <w:tab w:val="right" w:leader="dot" w:pos="9487"/>
        </w:tabs>
        <w:rPr>
          <w:rFonts w:asciiTheme="minorHAnsi" w:eastAsiaTheme="minorEastAsia" w:hAnsiTheme="minorHAnsi" w:cstheme="minorBidi"/>
          <w:noProof/>
          <w:sz w:val="22"/>
          <w:szCs w:val="22"/>
          <w:lang w:eastAsia="en-GB"/>
        </w:rPr>
      </w:pPr>
      <w:hyperlink w:anchor="_Toc90565757" w:history="1">
        <w:r w:rsidR="00575D70" w:rsidRPr="002C0EFE">
          <w:rPr>
            <w:rStyle w:val="Hyperlink"/>
            <w:noProof/>
          </w:rPr>
          <w:t>Definition of multiple and complex needs</w:t>
        </w:r>
        <w:r w:rsidR="00575D70">
          <w:rPr>
            <w:noProof/>
            <w:webHidden/>
          </w:rPr>
          <w:tab/>
        </w:r>
        <w:r w:rsidR="00575D70">
          <w:rPr>
            <w:noProof/>
            <w:webHidden/>
          </w:rPr>
          <w:fldChar w:fldCharType="begin"/>
        </w:r>
        <w:r w:rsidR="00575D70">
          <w:rPr>
            <w:noProof/>
            <w:webHidden/>
          </w:rPr>
          <w:instrText xml:space="preserve"> PAGEREF _Toc90565757 \h </w:instrText>
        </w:r>
        <w:r w:rsidR="00575D70">
          <w:rPr>
            <w:noProof/>
            <w:webHidden/>
          </w:rPr>
        </w:r>
        <w:r w:rsidR="00575D70">
          <w:rPr>
            <w:noProof/>
            <w:webHidden/>
          </w:rPr>
          <w:fldChar w:fldCharType="separate"/>
        </w:r>
        <w:r w:rsidR="00157586">
          <w:rPr>
            <w:noProof/>
            <w:webHidden/>
          </w:rPr>
          <w:t>2</w:t>
        </w:r>
        <w:r w:rsidR="00575D70">
          <w:rPr>
            <w:noProof/>
            <w:webHidden/>
          </w:rPr>
          <w:fldChar w:fldCharType="end"/>
        </w:r>
      </w:hyperlink>
    </w:p>
    <w:p w14:paraId="555E214A" w14:textId="6E214733" w:rsidR="00575D70" w:rsidRDefault="00344786">
      <w:pPr>
        <w:pStyle w:val="TOC1"/>
        <w:tabs>
          <w:tab w:val="right" w:leader="dot" w:pos="9487"/>
        </w:tabs>
        <w:rPr>
          <w:rFonts w:asciiTheme="minorHAnsi" w:eastAsiaTheme="minorEastAsia" w:hAnsiTheme="minorHAnsi" w:cstheme="minorBidi"/>
          <w:noProof/>
          <w:sz w:val="22"/>
          <w:szCs w:val="22"/>
          <w:lang w:eastAsia="en-GB"/>
        </w:rPr>
      </w:pPr>
      <w:hyperlink w:anchor="_Toc90565758" w:history="1">
        <w:r w:rsidR="00575D70" w:rsidRPr="002C0EFE">
          <w:rPr>
            <w:rStyle w:val="Hyperlink"/>
            <w:noProof/>
          </w:rPr>
          <w:t>MARM referral criteria</w:t>
        </w:r>
        <w:r w:rsidR="00575D70">
          <w:rPr>
            <w:noProof/>
            <w:webHidden/>
          </w:rPr>
          <w:tab/>
        </w:r>
        <w:r w:rsidR="00575D70">
          <w:rPr>
            <w:noProof/>
            <w:webHidden/>
          </w:rPr>
          <w:fldChar w:fldCharType="begin"/>
        </w:r>
        <w:r w:rsidR="00575D70">
          <w:rPr>
            <w:noProof/>
            <w:webHidden/>
          </w:rPr>
          <w:instrText xml:space="preserve"> PAGEREF _Toc90565758 \h </w:instrText>
        </w:r>
        <w:r w:rsidR="00575D70">
          <w:rPr>
            <w:noProof/>
            <w:webHidden/>
          </w:rPr>
        </w:r>
        <w:r w:rsidR="00575D70">
          <w:rPr>
            <w:noProof/>
            <w:webHidden/>
          </w:rPr>
          <w:fldChar w:fldCharType="separate"/>
        </w:r>
        <w:r w:rsidR="00157586">
          <w:rPr>
            <w:noProof/>
            <w:webHidden/>
          </w:rPr>
          <w:t>3</w:t>
        </w:r>
        <w:r w:rsidR="00575D70">
          <w:rPr>
            <w:noProof/>
            <w:webHidden/>
          </w:rPr>
          <w:fldChar w:fldCharType="end"/>
        </w:r>
      </w:hyperlink>
    </w:p>
    <w:p w14:paraId="172FECC0" w14:textId="00701A05" w:rsidR="00575D70" w:rsidRDefault="00344786">
      <w:pPr>
        <w:pStyle w:val="TOC1"/>
        <w:tabs>
          <w:tab w:val="right" w:leader="dot" w:pos="9487"/>
        </w:tabs>
        <w:rPr>
          <w:rFonts w:asciiTheme="minorHAnsi" w:eastAsiaTheme="minorEastAsia" w:hAnsiTheme="minorHAnsi" w:cstheme="minorBidi"/>
          <w:noProof/>
          <w:sz w:val="22"/>
          <w:szCs w:val="22"/>
          <w:lang w:eastAsia="en-GB"/>
        </w:rPr>
      </w:pPr>
      <w:hyperlink w:anchor="_Toc90565759" w:history="1">
        <w:r w:rsidR="00575D70" w:rsidRPr="002C0EFE">
          <w:rPr>
            <w:rStyle w:val="Hyperlink"/>
            <w:noProof/>
          </w:rPr>
          <w:t>Membership</w:t>
        </w:r>
        <w:r w:rsidR="00575D70">
          <w:rPr>
            <w:noProof/>
            <w:webHidden/>
          </w:rPr>
          <w:tab/>
        </w:r>
        <w:r w:rsidR="00575D70">
          <w:rPr>
            <w:noProof/>
            <w:webHidden/>
          </w:rPr>
          <w:fldChar w:fldCharType="begin"/>
        </w:r>
        <w:r w:rsidR="00575D70">
          <w:rPr>
            <w:noProof/>
            <w:webHidden/>
          </w:rPr>
          <w:instrText xml:space="preserve"> PAGEREF _Toc90565759 \h </w:instrText>
        </w:r>
        <w:r w:rsidR="00575D70">
          <w:rPr>
            <w:noProof/>
            <w:webHidden/>
          </w:rPr>
        </w:r>
        <w:r w:rsidR="00575D70">
          <w:rPr>
            <w:noProof/>
            <w:webHidden/>
          </w:rPr>
          <w:fldChar w:fldCharType="separate"/>
        </w:r>
        <w:r w:rsidR="00157586">
          <w:rPr>
            <w:noProof/>
            <w:webHidden/>
          </w:rPr>
          <w:t>4</w:t>
        </w:r>
        <w:r w:rsidR="00575D70">
          <w:rPr>
            <w:noProof/>
            <w:webHidden/>
          </w:rPr>
          <w:fldChar w:fldCharType="end"/>
        </w:r>
      </w:hyperlink>
    </w:p>
    <w:p w14:paraId="249A4590" w14:textId="6C4F41EE" w:rsidR="00575D70" w:rsidRDefault="00344786">
      <w:pPr>
        <w:pStyle w:val="TOC1"/>
        <w:tabs>
          <w:tab w:val="right" w:leader="dot" w:pos="9487"/>
        </w:tabs>
        <w:rPr>
          <w:rFonts w:asciiTheme="minorHAnsi" w:eastAsiaTheme="minorEastAsia" w:hAnsiTheme="minorHAnsi" w:cstheme="minorBidi"/>
          <w:noProof/>
          <w:sz w:val="22"/>
          <w:szCs w:val="22"/>
          <w:lang w:eastAsia="en-GB"/>
        </w:rPr>
      </w:pPr>
      <w:hyperlink w:anchor="_Toc90565760" w:history="1">
        <w:r w:rsidR="00575D70" w:rsidRPr="002C0EFE">
          <w:rPr>
            <w:rStyle w:val="Hyperlink"/>
            <w:noProof/>
          </w:rPr>
          <w:t>Members’ responsibilities</w:t>
        </w:r>
        <w:r w:rsidR="00575D70">
          <w:rPr>
            <w:noProof/>
            <w:webHidden/>
          </w:rPr>
          <w:tab/>
        </w:r>
        <w:r w:rsidR="00575D70">
          <w:rPr>
            <w:noProof/>
            <w:webHidden/>
          </w:rPr>
          <w:fldChar w:fldCharType="begin"/>
        </w:r>
        <w:r w:rsidR="00575D70">
          <w:rPr>
            <w:noProof/>
            <w:webHidden/>
          </w:rPr>
          <w:instrText xml:space="preserve"> PAGEREF _Toc90565760 \h </w:instrText>
        </w:r>
        <w:r w:rsidR="00575D70">
          <w:rPr>
            <w:noProof/>
            <w:webHidden/>
          </w:rPr>
        </w:r>
        <w:r w:rsidR="00575D70">
          <w:rPr>
            <w:noProof/>
            <w:webHidden/>
          </w:rPr>
          <w:fldChar w:fldCharType="separate"/>
        </w:r>
        <w:r w:rsidR="00157586">
          <w:rPr>
            <w:noProof/>
            <w:webHidden/>
          </w:rPr>
          <w:t>5</w:t>
        </w:r>
        <w:r w:rsidR="00575D70">
          <w:rPr>
            <w:noProof/>
            <w:webHidden/>
          </w:rPr>
          <w:fldChar w:fldCharType="end"/>
        </w:r>
      </w:hyperlink>
    </w:p>
    <w:p w14:paraId="4D6B678C" w14:textId="3EA0B507" w:rsidR="00575D70" w:rsidRDefault="00344786">
      <w:pPr>
        <w:pStyle w:val="TOC1"/>
        <w:tabs>
          <w:tab w:val="right" w:leader="dot" w:pos="9487"/>
        </w:tabs>
        <w:rPr>
          <w:rFonts w:asciiTheme="minorHAnsi" w:eastAsiaTheme="minorEastAsia" w:hAnsiTheme="minorHAnsi" w:cstheme="minorBidi"/>
          <w:noProof/>
          <w:sz w:val="22"/>
          <w:szCs w:val="22"/>
          <w:lang w:eastAsia="en-GB"/>
        </w:rPr>
      </w:pPr>
      <w:hyperlink w:anchor="_Toc90565761" w:history="1">
        <w:r w:rsidR="00575D70" w:rsidRPr="002C0EFE">
          <w:rPr>
            <w:rStyle w:val="Hyperlink"/>
            <w:noProof/>
          </w:rPr>
          <w:t>Meeting administration, frequency, recording and information sharing</w:t>
        </w:r>
        <w:r w:rsidR="00575D70">
          <w:rPr>
            <w:noProof/>
            <w:webHidden/>
          </w:rPr>
          <w:tab/>
        </w:r>
        <w:r w:rsidR="00575D70">
          <w:rPr>
            <w:noProof/>
            <w:webHidden/>
          </w:rPr>
          <w:fldChar w:fldCharType="begin"/>
        </w:r>
        <w:r w:rsidR="00575D70">
          <w:rPr>
            <w:noProof/>
            <w:webHidden/>
          </w:rPr>
          <w:instrText xml:space="preserve"> PAGEREF _Toc90565761 \h </w:instrText>
        </w:r>
        <w:r w:rsidR="00575D70">
          <w:rPr>
            <w:noProof/>
            <w:webHidden/>
          </w:rPr>
        </w:r>
        <w:r w:rsidR="00575D70">
          <w:rPr>
            <w:noProof/>
            <w:webHidden/>
          </w:rPr>
          <w:fldChar w:fldCharType="separate"/>
        </w:r>
        <w:r w:rsidR="00157586">
          <w:rPr>
            <w:noProof/>
            <w:webHidden/>
          </w:rPr>
          <w:t>5</w:t>
        </w:r>
        <w:r w:rsidR="00575D70">
          <w:rPr>
            <w:noProof/>
            <w:webHidden/>
          </w:rPr>
          <w:fldChar w:fldCharType="end"/>
        </w:r>
      </w:hyperlink>
    </w:p>
    <w:p w14:paraId="2C705594" w14:textId="595AEBF5" w:rsidR="00575D70" w:rsidRDefault="00344786">
      <w:pPr>
        <w:pStyle w:val="TOC1"/>
        <w:tabs>
          <w:tab w:val="right" w:leader="dot" w:pos="9487"/>
        </w:tabs>
        <w:rPr>
          <w:rFonts w:asciiTheme="minorHAnsi" w:eastAsiaTheme="minorEastAsia" w:hAnsiTheme="minorHAnsi" w:cstheme="minorBidi"/>
          <w:noProof/>
          <w:sz w:val="22"/>
          <w:szCs w:val="22"/>
          <w:lang w:eastAsia="en-GB"/>
        </w:rPr>
      </w:pPr>
      <w:hyperlink w:anchor="_Toc90565762" w:history="1">
        <w:r w:rsidR="00575D70" w:rsidRPr="002C0EFE">
          <w:rPr>
            <w:rStyle w:val="Hyperlink"/>
            <w:noProof/>
          </w:rPr>
          <w:t>Consent to share information</w:t>
        </w:r>
        <w:r w:rsidR="00575D70">
          <w:rPr>
            <w:noProof/>
            <w:webHidden/>
          </w:rPr>
          <w:tab/>
        </w:r>
        <w:r w:rsidR="00575D70">
          <w:rPr>
            <w:noProof/>
            <w:webHidden/>
          </w:rPr>
          <w:fldChar w:fldCharType="begin"/>
        </w:r>
        <w:r w:rsidR="00575D70">
          <w:rPr>
            <w:noProof/>
            <w:webHidden/>
          </w:rPr>
          <w:instrText xml:space="preserve"> PAGEREF _Toc90565762 \h </w:instrText>
        </w:r>
        <w:r w:rsidR="00575D70">
          <w:rPr>
            <w:noProof/>
            <w:webHidden/>
          </w:rPr>
        </w:r>
        <w:r w:rsidR="00575D70">
          <w:rPr>
            <w:noProof/>
            <w:webHidden/>
          </w:rPr>
          <w:fldChar w:fldCharType="separate"/>
        </w:r>
        <w:r w:rsidR="00157586">
          <w:rPr>
            <w:noProof/>
            <w:webHidden/>
          </w:rPr>
          <w:t>6</w:t>
        </w:r>
        <w:r w:rsidR="00575D70">
          <w:rPr>
            <w:noProof/>
            <w:webHidden/>
          </w:rPr>
          <w:fldChar w:fldCharType="end"/>
        </w:r>
      </w:hyperlink>
    </w:p>
    <w:p w14:paraId="6C8FE1EF" w14:textId="76334ED5" w:rsidR="00575D70" w:rsidRDefault="00344786">
      <w:pPr>
        <w:pStyle w:val="TOC1"/>
        <w:tabs>
          <w:tab w:val="right" w:leader="dot" w:pos="9487"/>
        </w:tabs>
        <w:rPr>
          <w:rFonts w:asciiTheme="minorHAnsi" w:eastAsiaTheme="minorEastAsia" w:hAnsiTheme="minorHAnsi" w:cstheme="minorBidi"/>
          <w:noProof/>
          <w:sz w:val="22"/>
          <w:szCs w:val="22"/>
          <w:lang w:eastAsia="en-GB"/>
        </w:rPr>
      </w:pPr>
      <w:hyperlink w:anchor="_Toc90565763" w:history="1">
        <w:r w:rsidR="00575D70" w:rsidRPr="002C0EFE">
          <w:rPr>
            <w:rStyle w:val="Hyperlink"/>
            <w:noProof/>
          </w:rPr>
          <w:t>Governance and review</w:t>
        </w:r>
        <w:r w:rsidR="00575D70">
          <w:rPr>
            <w:noProof/>
            <w:webHidden/>
          </w:rPr>
          <w:tab/>
        </w:r>
        <w:r w:rsidR="00575D70">
          <w:rPr>
            <w:noProof/>
            <w:webHidden/>
          </w:rPr>
          <w:fldChar w:fldCharType="begin"/>
        </w:r>
        <w:r w:rsidR="00575D70">
          <w:rPr>
            <w:noProof/>
            <w:webHidden/>
          </w:rPr>
          <w:instrText xml:space="preserve"> PAGEREF _Toc90565763 \h </w:instrText>
        </w:r>
        <w:r w:rsidR="00575D70">
          <w:rPr>
            <w:noProof/>
            <w:webHidden/>
          </w:rPr>
        </w:r>
        <w:r w:rsidR="00575D70">
          <w:rPr>
            <w:noProof/>
            <w:webHidden/>
          </w:rPr>
          <w:fldChar w:fldCharType="separate"/>
        </w:r>
        <w:r w:rsidR="00157586">
          <w:rPr>
            <w:noProof/>
            <w:webHidden/>
          </w:rPr>
          <w:t>7</w:t>
        </w:r>
        <w:r w:rsidR="00575D70">
          <w:rPr>
            <w:noProof/>
            <w:webHidden/>
          </w:rPr>
          <w:fldChar w:fldCharType="end"/>
        </w:r>
      </w:hyperlink>
    </w:p>
    <w:p w14:paraId="66DB7F7D" w14:textId="06E9DACF" w:rsidR="00575D70" w:rsidRDefault="00344786">
      <w:pPr>
        <w:pStyle w:val="TOC1"/>
        <w:tabs>
          <w:tab w:val="right" w:leader="dot" w:pos="9487"/>
        </w:tabs>
        <w:rPr>
          <w:rFonts w:asciiTheme="minorHAnsi" w:eastAsiaTheme="minorEastAsia" w:hAnsiTheme="minorHAnsi" w:cstheme="minorBidi"/>
          <w:noProof/>
          <w:sz w:val="22"/>
          <w:szCs w:val="22"/>
          <w:lang w:eastAsia="en-GB"/>
        </w:rPr>
      </w:pPr>
      <w:hyperlink w:anchor="_Toc90565764" w:history="1">
        <w:r w:rsidR="00575D70" w:rsidRPr="002C0EFE">
          <w:rPr>
            <w:rStyle w:val="Hyperlink"/>
            <w:noProof/>
          </w:rPr>
          <w:t>How to make a referral</w:t>
        </w:r>
        <w:r w:rsidR="00575D70">
          <w:rPr>
            <w:noProof/>
            <w:webHidden/>
          </w:rPr>
          <w:tab/>
        </w:r>
        <w:r w:rsidR="00575D70">
          <w:rPr>
            <w:noProof/>
            <w:webHidden/>
          </w:rPr>
          <w:fldChar w:fldCharType="begin"/>
        </w:r>
        <w:r w:rsidR="00575D70">
          <w:rPr>
            <w:noProof/>
            <w:webHidden/>
          </w:rPr>
          <w:instrText xml:space="preserve"> PAGEREF _Toc90565764 \h </w:instrText>
        </w:r>
        <w:r w:rsidR="00575D70">
          <w:rPr>
            <w:noProof/>
            <w:webHidden/>
          </w:rPr>
        </w:r>
        <w:r w:rsidR="00575D70">
          <w:rPr>
            <w:noProof/>
            <w:webHidden/>
          </w:rPr>
          <w:fldChar w:fldCharType="separate"/>
        </w:r>
        <w:r w:rsidR="00157586">
          <w:rPr>
            <w:noProof/>
            <w:webHidden/>
          </w:rPr>
          <w:t>8</w:t>
        </w:r>
        <w:r w:rsidR="00575D70">
          <w:rPr>
            <w:noProof/>
            <w:webHidden/>
          </w:rPr>
          <w:fldChar w:fldCharType="end"/>
        </w:r>
      </w:hyperlink>
    </w:p>
    <w:p w14:paraId="0DB6CD62" w14:textId="2E827C11" w:rsidR="00575D70" w:rsidRDefault="00344786">
      <w:pPr>
        <w:pStyle w:val="TOC1"/>
        <w:tabs>
          <w:tab w:val="right" w:leader="dot" w:pos="9487"/>
        </w:tabs>
        <w:rPr>
          <w:rFonts w:asciiTheme="minorHAnsi" w:eastAsiaTheme="minorEastAsia" w:hAnsiTheme="minorHAnsi" w:cstheme="minorBidi"/>
          <w:noProof/>
          <w:sz w:val="22"/>
          <w:szCs w:val="22"/>
          <w:lang w:eastAsia="en-GB"/>
        </w:rPr>
      </w:pPr>
      <w:hyperlink w:anchor="_Toc90565765" w:history="1">
        <w:r w:rsidR="00575D70" w:rsidRPr="002C0EFE">
          <w:rPr>
            <w:rStyle w:val="Hyperlink"/>
            <w:noProof/>
          </w:rPr>
          <w:t>Quick guide for considering a referral to MARM</w:t>
        </w:r>
        <w:r w:rsidR="00575D70">
          <w:rPr>
            <w:noProof/>
            <w:webHidden/>
          </w:rPr>
          <w:tab/>
        </w:r>
        <w:r w:rsidR="00575D70">
          <w:rPr>
            <w:noProof/>
            <w:webHidden/>
          </w:rPr>
          <w:fldChar w:fldCharType="begin"/>
        </w:r>
        <w:r w:rsidR="00575D70">
          <w:rPr>
            <w:noProof/>
            <w:webHidden/>
          </w:rPr>
          <w:instrText xml:space="preserve"> PAGEREF _Toc90565765 \h </w:instrText>
        </w:r>
        <w:r w:rsidR="00575D70">
          <w:rPr>
            <w:noProof/>
            <w:webHidden/>
          </w:rPr>
        </w:r>
        <w:r w:rsidR="00575D70">
          <w:rPr>
            <w:noProof/>
            <w:webHidden/>
          </w:rPr>
          <w:fldChar w:fldCharType="separate"/>
        </w:r>
        <w:r w:rsidR="00157586">
          <w:rPr>
            <w:noProof/>
            <w:webHidden/>
          </w:rPr>
          <w:t>9</w:t>
        </w:r>
        <w:r w:rsidR="00575D70">
          <w:rPr>
            <w:noProof/>
            <w:webHidden/>
          </w:rPr>
          <w:fldChar w:fldCharType="end"/>
        </w:r>
      </w:hyperlink>
    </w:p>
    <w:p w14:paraId="0DFF0442" w14:textId="38F1DC74" w:rsidR="00BC06A4" w:rsidRPr="00692A74" w:rsidRDefault="00BC06A4" w:rsidP="00BC06A4">
      <w:pPr>
        <w:tabs>
          <w:tab w:val="left" w:pos="709"/>
          <w:tab w:val="left" w:pos="1134"/>
          <w:tab w:val="left" w:pos="1559"/>
          <w:tab w:val="left" w:pos="1985"/>
          <w:tab w:val="left" w:pos="2410"/>
          <w:tab w:val="left" w:pos="2835"/>
          <w:tab w:val="left" w:pos="3260"/>
          <w:tab w:val="left" w:pos="3686"/>
          <w:tab w:val="left" w:pos="4111"/>
          <w:tab w:val="left" w:pos="4536"/>
          <w:tab w:val="left" w:pos="4961"/>
          <w:tab w:val="left" w:pos="5387"/>
          <w:tab w:val="left" w:pos="5812"/>
          <w:tab w:val="left" w:pos="6237"/>
          <w:tab w:val="left" w:pos="6662"/>
          <w:tab w:val="left" w:pos="7088"/>
          <w:tab w:val="left" w:pos="7513"/>
          <w:tab w:val="left" w:pos="7938"/>
          <w:tab w:val="right" w:pos="8505"/>
        </w:tabs>
        <w:ind w:left="567" w:right="567"/>
        <w:rPr>
          <w:rFonts w:eastAsia="Times New Roman"/>
          <w:lang w:eastAsia="en-GB"/>
        </w:rPr>
      </w:pPr>
      <w:r>
        <w:fldChar w:fldCharType="end"/>
      </w:r>
    </w:p>
    <w:p w14:paraId="0B531F03" w14:textId="77777777" w:rsidR="000164A4" w:rsidRPr="00692A74" w:rsidRDefault="000164A4" w:rsidP="00FC52F3">
      <w:pPr>
        <w:tabs>
          <w:tab w:val="left" w:pos="709"/>
          <w:tab w:val="left" w:pos="1134"/>
          <w:tab w:val="left" w:pos="1559"/>
          <w:tab w:val="left" w:pos="1985"/>
          <w:tab w:val="left" w:pos="2410"/>
          <w:tab w:val="left" w:pos="2835"/>
          <w:tab w:val="left" w:pos="3260"/>
          <w:tab w:val="left" w:pos="3686"/>
          <w:tab w:val="left" w:pos="4111"/>
          <w:tab w:val="left" w:pos="4536"/>
          <w:tab w:val="left" w:pos="4961"/>
          <w:tab w:val="left" w:pos="5387"/>
          <w:tab w:val="left" w:pos="5812"/>
          <w:tab w:val="left" w:pos="6237"/>
          <w:tab w:val="left" w:pos="6662"/>
          <w:tab w:val="left" w:pos="7088"/>
          <w:tab w:val="left" w:pos="7513"/>
          <w:tab w:val="left" w:pos="7938"/>
          <w:tab w:val="right" w:pos="8505"/>
        </w:tabs>
        <w:ind w:left="567" w:right="567"/>
        <w:rPr>
          <w:rFonts w:eastAsia="Times New Roman"/>
          <w:lang w:eastAsia="en-GB"/>
        </w:rPr>
        <w:sectPr w:rsidR="000164A4" w:rsidRPr="00692A74" w:rsidSect="00724690">
          <w:footerReference w:type="default" r:id="rId15"/>
          <w:pgSz w:w="11906" w:h="16838" w:code="9"/>
          <w:pgMar w:top="1134" w:right="991" w:bottom="1134" w:left="1418" w:header="567" w:footer="567" w:gutter="0"/>
          <w:cols w:space="708"/>
          <w:docGrid w:linePitch="360"/>
        </w:sectPr>
      </w:pPr>
    </w:p>
    <w:p w14:paraId="4593120C" w14:textId="108EBBBE" w:rsidR="00707EB7" w:rsidRPr="00707EB7" w:rsidRDefault="00707EB7" w:rsidP="00707EB7">
      <w:pPr>
        <w:pStyle w:val="Heading1"/>
      </w:pPr>
      <w:bookmarkStart w:id="1" w:name="_Toc90565755"/>
      <w:r w:rsidRPr="00707EB7">
        <w:lastRenderedPageBreak/>
        <w:t>Background</w:t>
      </w:r>
      <w:bookmarkEnd w:id="1"/>
    </w:p>
    <w:p w14:paraId="1876692A" w14:textId="06FF0A80" w:rsidR="00707EB7" w:rsidRDefault="00707EB7" w:rsidP="00707EB7">
      <w:pPr>
        <w:pStyle w:val="BodyText"/>
      </w:pPr>
      <w:r w:rsidRPr="00707EB7">
        <w:t>This protocol support</w:t>
      </w:r>
      <w:r w:rsidR="00600D3A">
        <w:t>s</w:t>
      </w:r>
      <w:r w:rsidRPr="00707EB7">
        <w:t xml:space="preserve"> partners of the East Sussex Safeguarding Adults Board (SAB) to achieve successful outcomes when working with adults with multiple and complex needs who remain at high risk of harm despite previous interventions.</w:t>
      </w:r>
    </w:p>
    <w:p w14:paraId="53A19DB2" w14:textId="3EFD7DAF" w:rsidR="000E03EE" w:rsidRDefault="00707EB7" w:rsidP="00A779D7">
      <w:pPr>
        <w:pStyle w:val="BodyText"/>
        <w:spacing w:before="240" w:after="240"/>
      </w:pPr>
      <w:r w:rsidRPr="00707EB7">
        <w:t>The Multi Agency Risk Management (MARM) group includes representation from East Sussex SAB partners and the voluntary and statutory sector</w:t>
      </w:r>
      <w:r w:rsidR="00600D3A">
        <w:t>.</w:t>
      </w:r>
      <w:r w:rsidRPr="00707EB7">
        <w:t xml:space="preserve"> </w:t>
      </w:r>
      <w:r w:rsidR="00600D3A">
        <w:t>The group has</w:t>
      </w:r>
      <w:r w:rsidRPr="00707EB7">
        <w:t xml:space="preserve"> the authority to use resources and make decisions to proactively </w:t>
      </w:r>
      <w:r w:rsidR="00600D3A">
        <w:t xml:space="preserve">support </w:t>
      </w:r>
      <w:r w:rsidR="00F805DD" w:rsidRPr="00707EB7">
        <w:t xml:space="preserve">adults with </w:t>
      </w:r>
      <w:hyperlink w:anchor="_Definition_of_Multiple" w:history="1">
        <w:r w:rsidR="00F805DD" w:rsidRPr="0041468B">
          <w:rPr>
            <w:rStyle w:val="Hyperlink"/>
          </w:rPr>
          <w:t>multiple complex needs</w:t>
        </w:r>
      </w:hyperlink>
      <w:r w:rsidR="00F805DD" w:rsidRPr="00707EB7">
        <w:t xml:space="preserve"> </w:t>
      </w:r>
      <w:r w:rsidRPr="00707EB7">
        <w:t>and mitigate risk</w:t>
      </w:r>
      <w:r w:rsidR="00600D3A">
        <w:t>s</w:t>
      </w:r>
      <w:r w:rsidRPr="00707EB7">
        <w:t>.</w:t>
      </w:r>
    </w:p>
    <w:p w14:paraId="659F9DF6" w14:textId="77D638F5" w:rsidR="00707EB7" w:rsidRDefault="00707EB7" w:rsidP="00707EB7">
      <w:pPr>
        <w:pStyle w:val="BodyText"/>
      </w:pPr>
      <w:r w:rsidRPr="00707EB7">
        <w:t xml:space="preserve">This protocol </w:t>
      </w:r>
      <w:r w:rsidR="00A678C7">
        <w:t xml:space="preserve">explains the role of the MARM group, their </w:t>
      </w:r>
      <w:proofErr w:type="gramStart"/>
      <w:r w:rsidR="00A678C7">
        <w:t>responsibilities</w:t>
      </w:r>
      <w:proofErr w:type="gramEnd"/>
      <w:r w:rsidR="00A678C7">
        <w:t xml:space="preserve"> and the referral process. This </w:t>
      </w:r>
      <w:r w:rsidRPr="00707EB7">
        <w:t xml:space="preserve">should be read </w:t>
      </w:r>
      <w:r w:rsidR="008406FC">
        <w:t xml:space="preserve">in conjunction </w:t>
      </w:r>
      <w:r w:rsidRPr="00707EB7">
        <w:t>with</w:t>
      </w:r>
      <w:r w:rsidR="008406FC">
        <w:t xml:space="preserve"> the</w:t>
      </w:r>
      <w:r w:rsidRPr="00707EB7">
        <w:t>:</w:t>
      </w:r>
    </w:p>
    <w:p w14:paraId="50236017" w14:textId="14D70FC8" w:rsidR="00707EB7" w:rsidRPr="00707EB7" w:rsidRDefault="00707EB7" w:rsidP="00707EB7">
      <w:pPr>
        <w:pStyle w:val="Bullet"/>
      </w:pPr>
      <w:r w:rsidRPr="00707EB7">
        <w:t>E</w:t>
      </w:r>
      <w:r w:rsidR="00D828E8">
        <w:t xml:space="preserve">ast </w:t>
      </w:r>
      <w:r w:rsidRPr="00707EB7">
        <w:t>S</w:t>
      </w:r>
      <w:r w:rsidR="00D828E8">
        <w:t xml:space="preserve">ussex </w:t>
      </w:r>
      <w:r w:rsidRPr="00707EB7">
        <w:t xml:space="preserve">SAB </w:t>
      </w:r>
      <w:hyperlink r:id="rId16" w:history="1">
        <w:r w:rsidRPr="008406FC">
          <w:rPr>
            <w:rStyle w:val="Hyperlink"/>
          </w:rPr>
          <w:t>Assessing and Supporting People with Multiple and Complex Needs - Guidance for Positive Practice</w:t>
        </w:r>
      </w:hyperlink>
    </w:p>
    <w:p w14:paraId="782A40B9" w14:textId="1C63FF13" w:rsidR="00707EB7" w:rsidRPr="00344786" w:rsidRDefault="00344786" w:rsidP="00707EB7">
      <w:pPr>
        <w:pStyle w:val="Bullet"/>
        <w:rPr>
          <w:rStyle w:val="Hyperlink"/>
        </w:rPr>
      </w:pPr>
      <w:r>
        <w:fldChar w:fldCharType="begin"/>
      </w:r>
      <w:r>
        <w:instrText>HYPERLINK "https://www.sussexsafeguardingadults.org/"</w:instrText>
      </w:r>
      <w:r>
        <w:fldChar w:fldCharType="separate"/>
      </w:r>
      <w:r w:rsidR="00707EB7" w:rsidRPr="00344786">
        <w:rPr>
          <w:rStyle w:val="Hyperlink"/>
        </w:rPr>
        <w:t>Sussex Safeguarding Adults Policy and Procedures</w:t>
      </w:r>
    </w:p>
    <w:p w14:paraId="0801E868" w14:textId="38B74919" w:rsidR="00707EB7" w:rsidRPr="00707EB7" w:rsidRDefault="00344786" w:rsidP="00707EB7">
      <w:pPr>
        <w:pStyle w:val="Bullet"/>
        <w:spacing w:after="240"/>
      </w:pPr>
      <w:r>
        <w:fldChar w:fldCharType="end"/>
      </w:r>
      <w:hyperlink r:id="rId17" w:history="1">
        <w:r w:rsidR="00707EB7" w:rsidRPr="00AF673E">
          <w:rPr>
            <w:rStyle w:val="Hyperlink"/>
          </w:rPr>
          <w:t>Sussex Information Sharing Guide and Protocol</w:t>
        </w:r>
      </w:hyperlink>
    </w:p>
    <w:p w14:paraId="6DAF646C" w14:textId="6CCBB885" w:rsidR="00707EB7" w:rsidRDefault="00707EB7" w:rsidP="00707EB7">
      <w:pPr>
        <w:pStyle w:val="Heading1"/>
      </w:pPr>
      <w:bookmarkStart w:id="2" w:name="_Toc90565756"/>
      <w:r w:rsidRPr="00707EB7">
        <w:t>Purpose of the MARM group</w:t>
      </w:r>
      <w:bookmarkEnd w:id="2"/>
    </w:p>
    <w:p w14:paraId="3871017E" w14:textId="5F350FEF" w:rsidR="00F805DD" w:rsidRDefault="00707EB7" w:rsidP="00707EB7">
      <w:pPr>
        <w:pStyle w:val="BodyText"/>
      </w:pPr>
      <w:r>
        <w:t>The purpose of the MARM is to</w:t>
      </w:r>
      <w:r w:rsidR="005E2318" w:rsidRPr="005E2318">
        <w:t xml:space="preserve"> </w:t>
      </w:r>
      <w:r w:rsidR="005E2318">
        <w:t xml:space="preserve">support adults </w:t>
      </w:r>
      <w:r w:rsidR="005E2318" w:rsidRPr="00707EB7">
        <w:t>with multiple and complex needs</w:t>
      </w:r>
      <w:r w:rsidR="005E2318">
        <w:t>. To do this the group will</w:t>
      </w:r>
      <w:r w:rsidR="00F805DD">
        <w:t>:</w:t>
      </w:r>
    </w:p>
    <w:p w14:paraId="581B74E9" w14:textId="2000269E" w:rsidR="00F805DD" w:rsidRDefault="000E03EE" w:rsidP="00F805DD">
      <w:pPr>
        <w:pStyle w:val="Bullet"/>
      </w:pPr>
      <w:r>
        <w:t>E</w:t>
      </w:r>
      <w:r w:rsidR="00F805DD" w:rsidRPr="00707EB7">
        <w:t>nsure that multi-agency communication and information sharing takes place on a regular basis</w:t>
      </w:r>
      <w:r w:rsidR="002B587B">
        <w:t>.</w:t>
      </w:r>
    </w:p>
    <w:p w14:paraId="12248157" w14:textId="3D631C83" w:rsidR="005E2318" w:rsidRDefault="000E03EE" w:rsidP="00F805DD">
      <w:pPr>
        <w:pStyle w:val="Bullet"/>
      </w:pPr>
      <w:r>
        <w:t>I</w:t>
      </w:r>
      <w:r w:rsidR="00F805DD" w:rsidRPr="00707EB7">
        <w:t>dentif</w:t>
      </w:r>
      <w:r w:rsidR="005E2318">
        <w:t>y</w:t>
      </w:r>
      <w:r w:rsidR="00F805DD" w:rsidRPr="00707EB7">
        <w:t xml:space="preserve"> strategic and operational actions to mitigate risk</w:t>
      </w:r>
      <w:r w:rsidR="00F805DD">
        <w:t>s</w:t>
      </w:r>
      <w:r w:rsidR="002B587B">
        <w:t>.</w:t>
      </w:r>
    </w:p>
    <w:p w14:paraId="3060E63D" w14:textId="32DF9B18" w:rsidR="00F805DD" w:rsidRDefault="000E03EE" w:rsidP="00A779D7">
      <w:pPr>
        <w:pStyle w:val="Bullet"/>
        <w:spacing w:after="0"/>
      </w:pPr>
      <w:r w:rsidRPr="00707EB7">
        <w:t>Escalate risks to senior agency officers that require a strategic or system</w:t>
      </w:r>
      <w:r>
        <w:t>-</w:t>
      </w:r>
      <w:r w:rsidRPr="00707EB7">
        <w:t>level response</w:t>
      </w:r>
      <w:r w:rsidR="002B587B">
        <w:t xml:space="preserve">. For example, </w:t>
      </w:r>
      <w:r w:rsidR="005E2318">
        <w:t xml:space="preserve">decision-making </w:t>
      </w:r>
      <w:r w:rsidR="002B587B">
        <w:t xml:space="preserve">for interventions </w:t>
      </w:r>
      <w:r w:rsidR="005E2318">
        <w:t xml:space="preserve">outside of standard </w:t>
      </w:r>
      <w:r w:rsidR="002B587B">
        <w:t>eligibility</w:t>
      </w:r>
      <w:r w:rsidR="005E2318">
        <w:t xml:space="preserve"> thresholds</w:t>
      </w:r>
      <w:r w:rsidR="002B587B">
        <w:t>.</w:t>
      </w:r>
    </w:p>
    <w:p w14:paraId="106D729A" w14:textId="1D3BDF8D" w:rsidR="00F805DD" w:rsidRDefault="002B587B" w:rsidP="00F805DD">
      <w:pPr>
        <w:pStyle w:val="Bullet"/>
      </w:pPr>
      <w:r>
        <w:t>W</w:t>
      </w:r>
      <w:r w:rsidR="00F805DD">
        <w:t>ork with agencies to set up</w:t>
      </w:r>
      <w:r w:rsidR="00F805DD" w:rsidRPr="00707EB7">
        <w:t xml:space="preserve"> a ‘team around the person’ to </w:t>
      </w:r>
      <w:r w:rsidR="00F805DD">
        <w:t>develop</w:t>
      </w:r>
      <w:r w:rsidR="00F805DD" w:rsidRPr="00707EB7">
        <w:t xml:space="preserve"> a co</w:t>
      </w:r>
      <w:r w:rsidR="00F805DD">
        <w:t>-</w:t>
      </w:r>
      <w:r w:rsidR="00F805DD" w:rsidRPr="00707EB7">
        <w:t xml:space="preserve">ordinated response </w:t>
      </w:r>
      <w:r w:rsidR="00F805DD">
        <w:t>to</w:t>
      </w:r>
      <w:r w:rsidR="00F805DD" w:rsidRPr="00707EB7">
        <w:t xml:space="preserve"> support </w:t>
      </w:r>
      <w:r w:rsidR="005E2318">
        <w:t xml:space="preserve">adults </w:t>
      </w:r>
      <w:r w:rsidR="00F805DD" w:rsidRPr="00707EB7">
        <w:t>who are at high risk</w:t>
      </w:r>
      <w:r w:rsidR="005E2318">
        <w:t xml:space="preserve">. </w:t>
      </w:r>
      <w:r w:rsidR="005E2318" w:rsidRPr="00707EB7">
        <w:t>This also includes individuals who may fall below agency thresholds.</w:t>
      </w:r>
    </w:p>
    <w:p w14:paraId="7E0F5C57" w14:textId="3B6293BA" w:rsidR="005E2318" w:rsidRDefault="002B587B" w:rsidP="00707EB7">
      <w:pPr>
        <w:pStyle w:val="Bullet"/>
      </w:pPr>
      <w:r>
        <w:t>S</w:t>
      </w:r>
      <w:r w:rsidR="00F805DD" w:rsidRPr="00707EB7">
        <w:t xml:space="preserve">upport professionals in managing individuals where all options have been explored within </w:t>
      </w:r>
      <w:r w:rsidR="005E2318">
        <w:t xml:space="preserve">the </w:t>
      </w:r>
      <w:r w:rsidR="00F805DD" w:rsidRPr="00707EB7">
        <w:t>current threshold criteria and existing multi-agency functions are unable to reduce risk</w:t>
      </w:r>
      <w:r w:rsidR="00F805DD">
        <w:t>s</w:t>
      </w:r>
      <w:r w:rsidR="005E2318">
        <w:t>, such as:</w:t>
      </w:r>
    </w:p>
    <w:p w14:paraId="21B3F04E" w14:textId="5A692C57" w:rsidR="005E2318" w:rsidRDefault="005E2318" w:rsidP="00A779D7">
      <w:pPr>
        <w:pStyle w:val="Bullet-2"/>
      </w:pPr>
      <w:r>
        <w:t>S</w:t>
      </w:r>
      <w:r w:rsidR="00F805DD" w:rsidRPr="00707EB7">
        <w:t>afeguarding adult</w:t>
      </w:r>
      <w:r>
        <w:t>s</w:t>
      </w:r>
    </w:p>
    <w:p w14:paraId="76F2C9AC" w14:textId="61642841" w:rsidR="005E2318" w:rsidRDefault="0041468B" w:rsidP="00A779D7">
      <w:pPr>
        <w:pStyle w:val="Bullet-2"/>
      </w:pPr>
      <w:r w:rsidRPr="0041468B">
        <w:t>Multi-Agency Risk Assessment Conference</w:t>
      </w:r>
      <w:r>
        <w:t xml:space="preserve"> (</w:t>
      </w:r>
      <w:r w:rsidR="00F805DD" w:rsidRPr="00707EB7">
        <w:t>MARAC</w:t>
      </w:r>
      <w:r>
        <w:t>)</w:t>
      </w:r>
    </w:p>
    <w:p w14:paraId="6D783F23" w14:textId="3CA2C578" w:rsidR="00F805DD" w:rsidRDefault="0041468B" w:rsidP="00A779D7">
      <w:pPr>
        <w:pStyle w:val="Bullet-2"/>
      </w:pPr>
      <w:r w:rsidRPr="0041468B">
        <w:t>Multi-</w:t>
      </w:r>
      <w:r>
        <w:t>A</w:t>
      </w:r>
      <w:r w:rsidRPr="0041468B">
        <w:t xml:space="preserve">gency </w:t>
      </w:r>
      <w:r>
        <w:t>P</w:t>
      </w:r>
      <w:r w:rsidRPr="0041468B">
        <w:t xml:space="preserve">ublic </w:t>
      </w:r>
      <w:r>
        <w:t>P</w:t>
      </w:r>
      <w:r w:rsidRPr="0041468B">
        <w:t xml:space="preserve">rotection </w:t>
      </w:r>
      <w:r>
        <w:t>A</w:t>
      </w:r>
      <w:r w:rsidRPr="0041468B">
        <w:t>rrangements</w:t>
      </w:r>
      <w:r>
        <w:t xml:space="preserve"> (</w:t>
      </w:r>
      <w:r w:rsidR="00F805DD" w:rsidRPr="00707EB7">
        <w:t>MAPPA</w:t>
      </w:r>
      <w:r>
        <w:t>)</w:t>
      </w:r>
      <w:r w:rsidR="00D828E8">
        <w:t>.</w:t>
      </w:r>
    </w:p>
    <w:p w14:paraId="65839C49" w14:textId="77777777" w:rsidR="000E03EE" w:rsidRPr="00707EB7" w:rsidRDefault="000E03EE" w:rsidP="000E03EE">
      <w:pPr>
        <w:pStyle w:val="Bullet"/>
      </w:pPr>
      <w:r w:rsidRPr="00707EB7">
        <w:t>Consider high risk, multiple and complex needs cases where the initial safeguarding enquiry has been unable to reduce or mitigate risk.</w:t>
      </w:r>
    </w:p>
    <w:p w14:paraId="4B91FEEA" w14:textId="093048DB" w:rsidR="00F805DD" w:rsidRDefault="002B587B" w:rsidP="00707EB7">
      <w:pPr>
        <w:pStyle w:val="Bullet"/>
      </w:pPr>
      <w:r>
        <w:lastRenderedPageBreak/>
        <w:t>U</w:t>
      </w:r>
      <w:r w:rsidR="00707EB7">
        <w:t>nblock barriers that prevent risk mitigation and promote a flexible multi-agency response to supporting individuals with multiple complex needs</w:t>
      </w:r>
      <w:r>
        <w:t>.</w:t>
      </w:r>
    </w:p>
    <w:p w14:paraId="7C13AA09" w14:textId="4ED3960C" w:rsidR="00707EB7" w:rsidRDefault="002B587B" w:rsidP="00707EB7">
      <w:pPr>
        <w:pStyle w:val="Bullet"/>
      </w:pPr>
      <w:r>
        <w:t>I</w:t>
      </w:r>
      <w:r w:rsidR="00707EB7">
        <w:t xml:space="preserve">dentify the lead agency responsible for the individual </w:t>
      </w:r>
      <w:r w:rsidR="005E2318">
        <w:t xml:space="preserve">from existing agencies </w:t>
      </w:r>
      <w:r w:rsidR="000E03EE">
        <w:t>(</w:t>
      </w:r>
      <w:r w:rsidR="005E2318">
        <w:t xml:space="preserve">in cases </w:t>
      </w:r>
      <w:r w:rsidR="00707EB7">
        <w:t>where this is not clear</w:t>
      </w:r>
      <w:r w:rsidR="000E03EE">
        <w:t>)</w:t>
      </w:r>
      <w:r w:rsidR="005E2318">
        <w:t xml:space="preserve"> and find solutions in an informed way</w:t>
      </w:r>
      <w:r w:rsidR="00707EB7">
        <w:t>.</w:t>
      </w:r>
    </w:p>
    <w:p w14:paraId="529A4CA1" w14:textId="69F12F4E" w:rsidR="000E03EE" w:rsidRPr="00707EB7" w:rsidRDefault="000E03EE" w:rsidP="000E03EE">
      <w:pPr>
        <w:pStyle w:val="Bullet"/>
      </w:pPr>
      <w:r w:rsidRPr="00707EB7">
        <w:t xml:space="preserve">Support agencies to reach agreement and adopt strategies </w:t>
      </w:r>
      <w:r>
        <w:t>for</w:t>
      </w:r>
      <w:r w:rsidRPr="00707EB7">
        <w:t xml:space="preserve"> individuals at risk a</w:t>
      </w:r>
      <w:r>
        <w:t>bout</w:t>
      </w:r>
      <w:r w:rsidRPr="00707EB7">
        <w:t xml:space="preserve"> risk decision</w:t>
      </w:r>
      <w:r w:rsidR="002B587B">
        <w:t>s</w:t>
      </w:r>
      <w:r w:rsidRPr="00707EB7">
        <w:t xml:space="preserve"> and management of </w:t>
      </w:r>
      <w:r w:rsidR="002B587B">
        <w:t>those</w:t>
      </w:r>
      <w:r w:rsidRPr="00707EB7">
        <w:t xml:space="preserve"> risks where they are manageable.</w:t>
      </w:r>
    </w:p>
    <w:p w14:paraId="59C8D7E8" w14:textId="2EEF52F6" w:rsidR="000E03EE" w:rsidRDefault="000E03EE" w:rsidP="00A779D7">
      <w:pPr>
        <w:pStyle w:val="Bullet"/>
        <w:spacing w:after="240"/>
      </w:pPr>
      <w:r w:rsidRPr="00707EB7">
        <w:t xml:space="preserve">Provide </w:t>
      </w:r>
      <w:r w:rsidR="002B587B">
        <w:t xml:space="preserve">a </w:t>
      </w:r>
      <w:r w:rsidRPr="00707EB7">
        <w:t>clear and comprehensive review of multi-agency risk assessment and management plans and agree a risk mitigation plan.</w:t>
      </w:r>
    </w:p>
    <w:p w14:paraId="5E72C551" w14:textId="3B8F4F15" w:rsidR="00707EB7" w:rsidRDefault="00707EB7" w:rsidP="00707EB7">
      <w:pPr>
        <w:pStyle w:val="BodyText"/>
      </w:pPr>
      <w:r>
        <w:t>The MARM group will consider and advise on individual cases where:</w:t>
      </w:r>
    </w:p>
    <w:p w14:paraId="4681B91F" w14:textId="70DE287F" w:rsidR="00707EB7" w:rsidRPr="00707EB7" w:rsidRDefault="00707EB7" w:rsidP="00707EB7">
      <w:pPr>
        <w:pStyle w:val="Bullet"/>
      </w:pPr>
      <w:r w:rsidRPr="00707EB7">
        <w:t>An individual</w:t>
      </w:r>
      <w:r w:rsidR="002B587B">
        <w:t>, or others</w:t>
      </w:r>
      <w:r w:rsidRPr="00707EB7">
        <w:t xml:space="preserve"> </w:t>
      </w:r>
      <w:r w:rsidR="002B587B">
        <w:t>are</w:t>
      </w:r>
      <w:r w:rsidRPr="00707EB7">
        <w:t xml:space="preserve"> at significant risk because the individual is not engaging, or is unable to engage with services, and existing multi-agency functions are unable to manage the risks</w:t>
      </w:r>
      <w:r w:rsidR="002B587B">
        <w:t>.</w:t>
      </w:r>
    </w:p>
    <w:p w14:paraId="32B4EF9C" w14:textId="22DEAB8B" w:rsidR="00707EB7" w:rsidRPr="00707EB7" w:rsidRDefault="00707EB7" w:rsidP="00707EB7">
      <w:pPr>
        <w:pStyle w:val="Bullet"/>
      </w:pPr>
      <w:bookmarkStart w:id="3" w:name="_Hlk77679216"/>
      <w:r w:rsidRPr="00707EB7">
        <w:t>All options have been explored within</w:t>
      </w:r>
      <w:r w:rsidR="002B587B">
        <w:t xml:space="preserve"> the</w:t>
      </w:r>
      <w:r w:rsidRPr="00707EB7">
        <w:t xml:space="preserve"> current threshold criteria, and existing multi-agency functions (safeguarding adult</w:t>
      </w:r>
      <w:r w:rsidR="004F6BCE">
        <w:t>s</w:t>
      </w:r>
      <w:r w:rsidRPr="00707EB7">
        <w:t xml:space="preserve">, </w:t>
      </w:r>
      <w:proofErr w:type="gramStart"/>
      <w:r w:rsidRPr="00707EB7">
        <w:t>MARAC</w:t>
      </w:r>
      <w:proofErr w:type="gramEnd"/>
      <w:r w:rsidR="0041468B">
        <w:t xml:space="preserve"> or </w:t>
      </w:r>
      <w:r w:rsidRPr="00707EB7">
        <w:t>MAPPA) are unable to reduce the level of risk</w:t>
      </w:r>
      <w:bookmarkEnd w:id="3"/>
      <w:r w:rsidRPr="00707EB7">
        <w:t>.</w:t>
      </w:r>
    </w:p>
    <w:p w14:paraId="6258F7A1" w14:textId="6E94783B" w:rsidR="00707EB7" w:rsidRPr="00707EB7" w:rsidRDefault="00707EB7" w:rsidP="00707EB7">
      <w:pPr>
        <w:pStyle w:val="Bullet"/>
        <w:spacing w:after="240"/>
      </w:pPr>
      <w:r w:rsidRPr="00707EB7">
        <w:t>There are significant challenges for services</w:t>
      </w:r>
      <w:r w:rsidR="002B587B">
        <w:t xml:space="preserve"> and</w:t>
      </w:r>
      <w:r w:rsidRPr="00707EB7">
        <w:t xml:space="preserve"> agencies managing the level of risk</w:t>
      </w:r>
      <w:r w:rsidR="002B587B">
        <w:t>.</w:t>
      </w:r>
    </w:p>
    <w:p w14:paraId="3F448B3A" w14:textId="2FC7E39D" w:rsidR="00707EB7" w:rsidRDefault="00707EB7" w:rsidP="00707EB7">
      <w:pPr>
        <w:pStyle w:val="Heading1"/>
      </w:pPr>
      <w:bookmarkStart w:id="4" w:name="_Definition_of_Multiple"/>
      <w:bookmarkStart w:id="5" w:name="_Toc90565757"/>
      <w:bookmarkEnd w:id="4"/>
      <w:r w:rsidRPr="00707EB7">
        <w:t xml:space="preserve">Definition of </w:t>
      </w:r>
      <w:r w:rsidR="0041468B">
        <w:t>m</w:t>
      </w:r>
      <w:r w:rsidR="0041468B" w:rsidRPr="00707EB7">
        <w:t xml:space="preserve">ultiple </w:t>
      </w:r>
      <w:r w:rsidR="004C5E0D">
        <w:t xml:space="preserve">and </w:t>
      </w:r>
      <w:r w:rsidR="0041468B">
        <w:t>c</w:t>
      </w:r>
      <w:r w:rsidR="0041468B" w:rsidRPr="00707EB7">
        <w:t xml:space="preserve">omplex </w:t>
      </w:r>
      <w:r w:rsidR="0041468B">
        <w:t>n</w:t>
      </w:r>
      <w:r w:rsidR="0041468B" w:rsidRPr="00707EB7">
        <w:t>eeds</w:t>
      </w:r>
      <w:bookmarkEnd w:id="5"/>
    </w:p>
    <w:p w14:paraId="44691914" w14:textId="4CB291A6" w:rsidR="0041468B" w:rsidRDefault="00707EB7" w:rsidP="0041468B">
      <w:pPr>
        <w:pStyle w:val="BodyText"/>
      </w:pPr>
      <w:r w:rsidRPr="00A779D7">
        <w:t xml:space="preserve">Multiple and complex needs </w:t>
      </w:r>
      <w:r w:rsidRPr="00707EB7">
        <w:t xml:space="preserve">is defined as experiencing a combination of </w:t>
      </w:r>
      <w:r w:rsidR="0041468B">
        <w:t xml:space="preserve">four of the five </w:t>
      </w:r>
      <w:r w:rsidRPr="00707EB7">
        <w:t xml:space="preserve">primary disadvantages or needs </w:t>
      </w:r>
      <w:r w:rsidRPr="00A779D7">
        <w:t>at the same time</w:t>
      </w:r>
      <w:r w:rsidRPr="00707EB7">
        <w:t>:</w:t>
      </w:r>
    </w:p>
    <w:p w14:paraId="37194497" w14:textId="127303C4" w:rsidR="0041468B" w:rsidRDefault="002544C6" w:rsidP="00A779D7">
      <w:pPr>
        <w:pStyle w:val="Bullet"/>
      </w:pPr>
      <w:r>
        <w:t>V</w:t>
      </w:r>
      <w:r w:rsidR="00707EB7" w:rsidRPr="00707EB7">
        <w:t>iolence and abuse</w:t>
      </w:r>
    </w:p>
    <w:p w14:paraId="13D227EC" w14:textId="30218EE0" w:rsidR="0041468B" w:rsidRDefault="002544C6" w:rsidP="00A779D7">
      <w:pPr>
        <w:pStyle w:val="Bullet"/>
      </w:pPr>
      <w:r>
        <w:t>P</w:t>
      </w:r>
      <w:r w:rsidR="00707EB7" w:rsidRPr="00707EB7">
        <w:t>oor mental health</w:t>
      </w:r>
    </w:p>
    <w:p w14:paraId="72E4817B" w14:textId="39709C1B" w:rsidR="0041468B" w:rsidRDefault="002544C6" w:rsidP="00A779D7">
      <w:pPr>
        <w:pStyle w:val="Bullet"/>
      </w:pPr>
      <w:r>
        <w:t>H</w:t>
      </w:r>
      <w:r w:rsidR="00707EB7" w:rsidRPr="00707EB7">
        <w:t>omelessness</w:t>
      </w:r>
    </w:p>
    <w:p w14:paraId="0AD71EC5" w14:textId="61BD624A" w:rsidR="0041468B" w:rsidRDefault="002544C6" w:rsidP="00A779D7">
      <w:pPr>
        <w:pStyle w:val="Bullet"/>
      </w:pPr>
      <w:r>
        <w:t>D</w:t>
      </w:r>
      <w:r w:rsidR="00707EB7" w:rsidRPr="00707EB7">
        <w:t>rug and or alcohol dependency</w:t>
      </w:r>
    </w:p>
    <w:p w14:paraId="4DA2487E" w14:textId="4B7E5FD7" w:rsidR="00707EB7" w:rsidRPr="00707EB7" w:rsidRDefault="002544C6" w:rsidP="00A779D7">
      <w:pPr>
        <w:pStyle w:val="Bullet"/>
        <w:spacing w:after="240"/>
      </w:pPr>
      <w:r>
        <w:t>O</w:t>
      </w:r>
      <w:r w:rsidR="00707EB7" w:rsidRPr="00707EB7">
        <w:t>ffending behaviour</w:t>
      </w:r>
      <w:bookmarkStart w:id="6" w:name="_Hlk75327224"/>
      <w:r w:rsidR="00D828E8">
        <w:t>.</w:t>
      </w:r>
    </w:p>
    <w:p w14:paraId="19944911" w14:textId="4C12F222" w:rsidR="0041468B" w:rsidRPr="0041468B" w:rsidRDefault="00707EB7" w:rsidP="00A779D7">
      <w:pPr>
        <w:pStyle w:val="BodyText"/>
      </w:pPr>
      <w:r w:rsidRPr="00A779D7">
        <w:t>The intensity and frequency of needs and the level of risk</w:t>
      </w:r>
      <w:r w:rsidRPr="0041468B">
        <w:t xml:space="preserve"> </w:t>
      </w:r>
      <w:proofErr w:type="gramStart"/>
      <w:r w:rsidRPr="0041468B">
        <w:t>as a result of</w:t>
      </w:r>
      <w:proofErr w:type="gramEnd"/>
      <w:r w:rsidRPr="0041468B">
        <w:t xml:space="preserve"> those needs are factors to consider.</w:t>
      </w:r>
      <w:r w:rsidRPr="00A779D7">
        <w:t xml:space="preserve"> </w:t>
      </w:r>
      <w:r w:rsidRPr="0041468B">
        <w:t>Some individuals may have multiple and complex needs with a moderate level of risk present whilst others may have a higher risk.</w:t>
      </w:r>
      <w:bookmarkEnd w:id="6"/>
    </w:p>
    <w:p w14:paraId="304D3291" w14:textId="19D86A0F" w:rsidR="00707EB7" w:rsidRDefault="00707EB7" w:rsidP="00A779D7">
      <w:pPr>
        <w:pStyle w:val="BodyText"/>
        <w:spacing w:before="240"/>
      </w:pPr>
      <w:r w:rsidRPr="00707EB7">
        <w:t>Primary areas of disadvantage or need are defined as:</w:t>
      </w:r>
    </w:p>
    <w:p w14:paraId="4AB68AB8" w14:textId="1087A2E3" w:rsidR="00707EB7" w:rsidRPr="00707EB7" w:rsidRDefault="00707EB7" w:rsidP="00E220FD">
      <w:pPr>
        <w:pStyle w:val="Bullet"/>
      </w:pPr>
      <w:r w:rsidRPr="00707EB7">
        <w:rPr>
          <w:b/>
          <w:bCs/>
        </w:rPr>
        <w:t>Violence and abuse</w:t>
      </w:r>
      <w:r w:rsidRPr="00707EB7">
        <w:t xml:space="preserve"> - being a victim of interpersonal violence and abuse</w:t>
      </w:r>
      <w:r w:rsidR="00B1628D">
        <w:t>.</w:t>
      </w:r>
      <w:r w:rsidRPr="00707EB7">
        <w:t xml:space="preserve"> </w:t>
      </w:r>
      <w:r w:rsidR="00B1628D">
        <w:t>S</w:t>
      </w:r>
      <w:r w:rsidRPr="00707EB7">
        <w:t xml:space="preserve">uch as having been raped or sexually assaulted or suffering </w:t>
      </w:r>
      <w:proofErr w:type="gramStart"/>
      <w:r w:rsidRPr="00707EB7">
        <w:t>violence, or</w:t>
      </w:r>
      <w:proofErr w:type="gramEnd"/>
      <w:r w:rsidRPr="00707EB7">
        <w:t xml:space="preserve"> subjected to coercive control by any perpetrator.</w:t>
      </w:r>
    </w:p>
    <w:p w14:paraId="5B5209E9" w14:textId="69EBC17C" w:rsidR="00707EB7" w:rsidRPr="00707EB7" w:rsidRDefault="00707EB7" w:rsidP="00E220FD">
      <w:pPr>
        <w:pStyle w:val="Bullet"/>
      </w:pPr>
      <w:r w:rsidRPr="00707EB7">
        <w:rPr>
          <w:b/>
          <w:bCs/>
        </w:rPr>
        <w:lastRenderedPageBreak/>
        <w:t>Poor mental health</w:t>
      </w:r>
      <w:r w:rsidRPr="00707EB7">
        <w:t xml:space="preserve"> is defined as struggling to cope due to mental health difficulties having a detrimental effect on</w:t>
      </w:r>
      <w:r w:rsidR="00B1628D">
        <w:t xml:space="preserve"> someone’s</w:t>
      </w:r>
      <w:r w:rsidRPr="00707EB7">
        <w:t xml:space="preserve"> wellbeing and functioning. Mental illness may also be present which may or may not be diagnosed. Self-neglect, mental capacity issues and hoarding may also be present. This definition also includes poor mental health </w:t>
      </w:r>
      <w:proofErr w:type="gramStart"/>
      <w:r w:rsidRPr="00707EB7">
        <w:t>as a result of</w:t>
      </w:r>
      <w:proofErr w:type="gramEnd"/>
      <w:r w:rsidRPr="00707EB7">
        <w:t xml:space="preserve"> trauma that continues to impact on an individual. This can also include trauma that maybe </w:t>
      </w:r>
      <w:proofErr w:type="gramStart"/>
      <w:r w:rsidRPr="00707EB7">
        <w:t>as a result of</w:t>
      </w:r>
      <w:proofErr w:type="gramEnd"/>
      <w:r w:rsidRPr="00707EB7">
        <w:t xml:space="preserve"> loss of child residence arrangements.</w:t>
      </w:r>
    </w:p>
    <w:p w14:paraId="67F6C614" w14:textId="146AAD02" w:rsidR="00BE00FF" w:rsidRDefault="00707EB7" w:rsidP="00E220FD">
      <w:pPr>
        <w:pStyle w:val="Bullet"/>
      </w:pPr>
      <w:r w:rsidRPr="00707EB7">
        <w:rPr>
          <w:b/>
          <w:bCs/>
        </w:rPr>
        <w:t>Homelessness</w:t>
      </w:r>
      <w:r w:rsidRPr="00707EB7">
        <w:t xml:space="preserve"> - a broad definition is</w:t>
      </w:r>
      <w:r w:rsidR="00BE00FF">
        <w:t>:</w:t>
      </w:r>
    </w:p>
    <w:p w14:paraId="577EEB62" w14:textId="5B7BDBF9" w:rsidR="00BE00FF" w:rsidRDefault="00707EB7" w:rsidP="00BE00FF">
      <w:pPr>
        <w:pStyle w:val="Bullet-2"/>
      </w:pPr>
      <w:r w:rsidRPr="00707EB7">
        <w:t>not having a settled place to stay, such as sofa-surfing (staying with family or friends because the individual affected has no home of their own)</w:t>
      </w:r>
    </w:p>
    <w:p w14:paraId="448EC037" w14:textId="39B2CCC7" w:rsidR="00BE00FF" w:rsidRDefault="00707EB7" w:rsidP="00BE00FF">
      <w:pPr>
        <w:pStyle w:val="Bullet-2"/>
      </w:pPr>
      <w:r w:rsidRPr="00707EB7">
        <w:t xml:space="preserve">staying in temporary or refuge accommodation, or </w:t>
      </w:r>
    </w:p>
    <w:p w14:paraId="0EB0BF70" w14:textId="1B66C8A9" w:rsidR="00707EB7" w:rsidRPr="00707EB7" w:rsidRDefault="00707EB7" w:rsidP="00A779D7">
      <w:pPr>
        <w:pStyle w:val="Bullet-2"/>
      </w:pPr>
      <w:r w:rsidRPr="00707EB7">
        <w:t>rough sleeping</w:t>
      </w:r>
      <w:r w:rsidR="00BE00FF">
        <w:t xml:space="preserve"> (</w:t>
      </w:r>
      <w:r w:rsidRPr="00707EB7">
        <w:t>street homelessness</w:t>
      </w:r>
      <w:r w:rsidR="00BE00FF">
        <w:t>)</w:t>
      </w:r>
      <w:r w:rsidRPr="00707EB7">
        <w:t>.</w:t>
      </w:r>
    </w:p>
    <w:p w14:paraId="713BFD44" w14:textId="77777777" w:rsidR="004C5E0D" w:rsidRDefault="00707EB7" w:rsidP="00E220FD">
      <w:pPr>
        <w:pStyle w:val="Bullet"/>
      </w:pPr>
      <w:r w:rsidRPr="00707EB7">
        <w:rPr>
          <w:b/>
          <w:bCs/>
        </w:rPr>
        <w:t>Drug and / or alcohol dependency</w:t>
      </w:r>
      <w:r w:rsidRPr="00707EB7">
        <w:t xml:space="preserve"> A broad definition is</w:t>
      </w:r>
      <w:r w:rsidR="004C5E0D">
        <w:t>:</w:t>
      </w:r>
    </w:p>
    <w:p w14:paraId="55FB2958" w14:textId="512CB11E" w:rsidR="004C5E0D" w:rsidRDefault="00707EB7" w:rsidP="00A779D7">
      <w:pPr>
        <w:pStyle w:val="Bullet-2"/>
      </w:pPr>
      <w:r w:rsidRPr="00707EB7">
        <w:t>not only regular use of illegal street drugs but also over the counter and prescribed medications</w:t>
      </w:r>
    </w:p>
    <w:p w14:paraId="58C55D7B" w14:textId="3A93AECE" w:rsidR="004C5E0D" w:rsidRDefault="00707EB7" w:rsidP="00A779D7">
      <w:pPr>
        <w:pStyle w:val="Bullet-2"/>
      </w:pPr>
      <w:r w:rsidRPr="00707EB7">
        <w:t>‘harmful’ drinking of alcohol</w:t>
      </w:r>
    </w:p>
    <w:p w14:paraId="5ABDEE27" w14:textId="4EA5E5AF" w:rsidR="00707EB7" w:rsidRPr="00707EB7" w:rsidRDefault="00707EB7" w:rsidP="00A779D7">
      <w:pPr>
        <w:pStyle w:val="Bullet-2"/>
      </w:pPr>
      <w:r w:rsidRPr="00707EB7">
        <w:t>dependence on cannabis.</w:t>
      </w:r>
    </w:p>
    <w:p w14:paraId="436646E1" w14:textId="4D69440A" w:rsidR="00707EB7" w:rsidRPr="00707EB7" w:rsidRDefault="00707EB7" w:rsidP="00E220FD">
      <w:pPr>
        <w:pStyle w:val="Bullet"/>
        <w:spacing w:after="240"/>
      </w:pPr>
      <w:r w:rsidRPr="00707EB7">
        <w:rPr>
          <w:b/>
          <w:bCs/>
        </w:rPr>
        <w:t xml:space="preserve">Offending </w:t>
      </w:r>
      <w:bookmarkStart w:id="7" w:name="_Hlk77593029"/>
      <w:r w:rsidRPr="00707EB7">
        <w:rPr>
          <w:b/>
          <w:bCs/>
        </w:rPr>
        <w:t>Behaviour</w:t>
      </w:r>
      <w:r w:rsidRPr="00707EB7">
        <w:t xml:space="preserve"> - Having contact with the criminal justice system, including the police, probation and or Community Safety Services.</w:t>
      </w:r>
      <w:bookmarkEnd w:id="7"/>
    </w:p>
    <w:p w14:paraId="79E39C2C" w14:textId="110C9352" w:rsidR="00E220FD" w:rsidRDefault="00E220FD" w:rsidP="00707EB7">
      <w:pPr>
        <w:pStyle w:val="BodyText"/>
      </w:pPr>
      <w:r w:rsidRPr="00E220FD">
        <w:t xml:space="preserve">The definition is not exhaustive and professional judgement should be used to identify those who are struggling to cope, and </w:t>
      </w:r>
      <w:r w:rsidR="004C5E0D">
        <w:t xml:space="preserve">those </w:t>
      </w:r>
      <w:r w:rsidRPr="00E220FD">
        <w:t>who may need support and safeguarding interventions.</w:t>
      </w:r>
    </w:p>
    <w:p w14:paraId="790BB4FB" w14:textId="4AB374A6" w:rsidR="00E220FD" w:rsidRDefault="00E220FD" w:rsidP="00A779D7">
      <w:pPr>
        <w:pStyle w:val="Heading1"/>
        <w:spacing w:before="240"/>
      </w:pPr>
      <w:bookmarkStart w:id="8" w:name="_Toc90565758"/>
      <w:r w:rsidRPr="00E220FD">
        <w:t xml:space="preserve">MARM </w:t>
      </w:r>
      <w:r w:rsidR="004C5E0D">
        <w:t>r</w:t>
      </w:r>
      <w:r w:rsidRPr="00E220FD">
        <w:t xml:space="preserve">eferral </w:t>
      </w:r>
      <w:r w:rsidR="004C5E0D">
        <w:t>c</w:t>
      </w:r>
      <w:r w:rsidRPr="00E220FD">
        <w:t>riteria</w:t>
      </w:r>
      <w:bookmarkEnd w:id="8"/>
    </w:p>
    <w:p w14:paraId="1CED56B5" w14:textId="618ED0A8" w:rsidR="00E220FD" w:rsidRDefault="00E220FD" w:rsidP="00E220FD">
      <w:pPr>
        <w:pStyle w:val="BodyText"/>
      </w:pPr>
      <w:r w:rsidRPr="00E220FD">
        <w:t>The criteria for referral to the MARM are:</w:t>
      </w:r>
    </w:p>
    <w:p w14:paraId="5587E104" w14:textId="0FD6E092" w:rsidR="00E220FD" w:rsidRPr="00E220FD" w:rsidRDefault="00E220FD" w:rsidP="00E220FD">
      <w:pPr>
        <w:pStyle w:val="Bullet"/>
      </w:pPr>
      <w:r w:rsidRPr="00E220FD">
        <w:t>The adult has multiple and complex needs</w:t>
      </w:r>
      <w:r w:rsidR="004F6BCE">
        <w:t>.</w:t>
      </w:r>
    </w:p>
    <w:p w14:paraId="44C58B55" w14:textId="42532E05" w:rsidR="00E220FD" w:rsidRPr="00E220FD" w:rsidRDefault="00E220FD" w:rsidP="00E220FD">
      <w:pPr>
        <w:pStyle w:val="Bullet"/>
      </w:pPr>
      <w:r w:rsidRPr="00E220FD">
        <w:t>All options have been explored within current threshold criteria and existing multi-agency functions</w:t>
      </w:r>
      <w:r w:rsidR="004C5E0D">
        <w:t>,</w:t>
      </w:r>
      <w:r w:rsidRPr="00E220FD">
        <w:t xml:space="preserve"> </w:t>
      </w:r>
      <w:r w:rsidR="004C5E0D">
        <w:t>such as</w:t>
      </w:r>
      <w:r w:rsidRPr="00E220FD">
        <w:t xml:space="preserve"> safeguarding adult</w:t>
      </w:r>
      <w:r w:rsidR="004C5E0D">
        <w:t>s</w:t>
      </w:r>
      <w:r w:rsidRPr="00E220FD">
        <w:t xml:space="preserve">, MARAC, MAPPA, </w:t>
      </w:r>
      <w:r w:rsidR="004C5E0D">
        <w:t>and</w:t>
      </w:r>
      <w:r w:rsidR="004F6BCE">
        <w:t xml:space="preserve"> / or</w:t>
      </w:r>
      <w:r w:rsidR="004C5E0D">
        <w:t xml:space="preserve"> </w:t>
      </w:r>
      <w:r w:rsidR="004F6BCE">
        <w:t xml:space="preserve">completion of </w:t>
      </w:r>
      <w:r w:rsidR="004C5E0D">
        <w:t xml:space="preserve">a </w:t>
      </w:r>
      <w:r w:rsidR="004F6BCE">
        <w:t>m</w:t>
      </w:r>
      <w:r w:rsidRPr="00E220FD">
        <w:t xml:space="preserve">ental </w:t>
      </w:r>
      <w:r w:rsidR="004F6BCE">
        <w:t>c</w:t>
      </w:r>
      <w:r w:rsidRPr="00E220FD">
        <w:t>apacity assessment</w:t>
      </w:r>
      <w:r w:rsidR="004C5E0D">
        <w:t>,</w:t>
      </w:r>
      <w:r w:rsidRPr="00E220FD">
        <w:t xml:space="preserve"> </w:t>
      </w:r>
      <w:r w:rsidR="00AA4262">
        <w:t>and these have not</w:t>
      </w:r>
      <w:r w:rsidRPr="00E220FD">
        <w:t xml:space="preserve"> reduce</w:t>
      </w:r>
      <w:r w:rsidR="00AA4262">
        <w:t>d</w:t>
      </w:r>
      <w:r w:rsidRPr="00E220FD">
        <w:t xml:space="preserve"> the level of risk and there is significant concern for the wellbeing of an individual.</w:t>
      </w:r>
    </w:p>
    <w:p w14:paraId="4D2BB199" w14:textId="5AF3384F" w:rsidR="00E220FD" w:rsidRPr="00E220FD" w:rsidRDefault="00E220FD" w:rsidP="00E220FD">
      <w:pPr>
        <w:pStyle w:val="Bullet"/>
      </w:pPr>
      <w:r w:rsidRPr="00E220FD">
        <w:t xml:space="preserve">The adult must be known to a service or agency </w:t>
      </w:r>
      <w:r w:rsidR="004C5E0D">
        <w:t>even if the</w:t>
      </w:r>
      <w:r w:rsidRPr="00E220FD">
        <w:t xml:space="preserve"> individual is not engaging or is unable to engage</w:t>
      </w:r>
      <w:r w:rsidR="004C5E0D">
        <w:t xml:space="preserve"> with them</w:t>
      </w:r>
      <w:r w:rsidRPr="00E220FD">
        <w:t xml:space="preserve">. The adult does not need to be </w:t>
      </w:r>
      <w:r w:rsidR="004F6BCE">
        <w:t>open to A</w:t>
      </w:r>
      <w:r w:rsidRPr="00E220FD">
        <w:t xml:space="preserve">dult </w:t>
      </w:r>
      <w:r w:rsidR="004F6BCE">
        <w:t>S</w:t>
      </w:r>
      <w:r w:rsidRPr="00E220FD">
        <w:t xml:space="preserve">ocial </w:t>
      </w:r>
      <w:r w:rsidR="004F6BCE">
        <w:t>C</w:t>
      </w:r>
      <w:r w:rsidRPr="00E220FD">
        <w:t>are</w:t>
      </w:r>
      <w:r w:rsidR="00AA4262">
        <w:t xml:space="preserve"> &amp; Health</w:t>
      </w:r>
      <w:r w:rsidRPr="00E220FD">
        <w:t>.</w:t>
      </w:r>
    </w:p>
    <w:p w14:paraId="095EF76B" w14:textId="02F39E54" w:rsidR="00E220FD" w:rsidRDefault="00E220FD" w:rsidP="00E220FD">
      <w:pPr>
        <w:pStyle w:val="Bullet"/>
        <w:spacing w:after="240"/>
      </w:pPr>
      <w:r w:rsidRPr="00E220FD">
        <w:t>An agency’s risk assessment must be completed and submitted to the MARM with each referral.</w:t>
      </w:r>
    </w:p>
    <w:p w14:paraId="1EBB932A" w14:textId="1D096224" w:rsidR="00A779D7" w:rsidRDefault="00A779D7">
      <w:pPr>
        <w:spacing w:line="240" w:lineRule="auto"/>
        <w:ind w:left="0"/>
      </w:pPr>
      <w:r>
        <w:br w:type="page"/>
      </w:r>
    </w:p>
    <w:p w14:paraId="77D6FF72" w14:textId="6FF13304" w:rsidR="00E220FD" w:rsidRDefault="00E220FD" w:rsidP="00E220FD">
      <w:pPr>
        <w:pStyle w:val="Heading1"/>
      </w:pPr>
      <w:bookmarkStart w:id="9" w:name="_Toc90565759"/>
      <w:r w:rsidRPr="00E220FD">
        <w:lastRenderedPageBreak/>
        <w:t>Membership</w:t>
      </w:r>
      <w:bookmarkEnd w:id="9"/>
    </w:p>
    <w:p w14:paraId="133F0FCD" w14:textId="12FCE029" w:rsidR="00E220FD" w:rsidRDefault="00E220FD" w:rsidP="00E220FD">
      <w:pPr>
        <w:pStyle w:val="BodyText"/>
      </w:pPr>
      <w:r w:rsidRPr="00E220FD">
        <w:t>The following agencies are members of the MARM:</w:t>
      </w:r>
    </w:p>
    <w:p w14:paraId="7838F559" w14:textId="659B1EBB" w:rsidR="00E220FD" w:rsidRPr="00E220FD" w:rsidRDefault="00E220FD" w:rsidP="00E220FD">
      <w:pPr>
        <w:pStyle w:val="Bullet"/>
      </w:pPr>
      <w:bookmarkStart w:id="10" w:name="_Hlk74820973"/>
      <w:r w:rsidRPr="00E220FD">
        <w:t>Adult Social Care</w:t>
      </w:r>
      <w:r w:rsidR="00AA4262">
        <w:t xml:space="preserve"> &amp; Health</w:t>
      </w:r>
      <w:r w:rsidRPr="00E220FD">
        <w:t>, East Sussex County Council (ESCC)</w:t>
      </w:r>
    </w:p>
    <w:p w14:paraId="3C293C90" w14:textId="43D28FD9" w:rsidR="00E220FD" w:rsidRPr="00E220FD" w:rsidRDefault="00D828E8" w:rsidP="00E220FD">
      <w:pPr>
        <w:pStyle w:val="Bullet"/>
      </w:pPr>
      <w:r>
        <w:t xml:space="preserve">NHS </w:t>
      </w:r>
      <w:r w:rsidR="00E220FD" w:rsidRPr="00E220FD">
        <w:t>East Sussex Clinical Commissioning Group (CCG)</w:t>
      </w:r>
    </w:p>
    <w:p w14:paraId="15052314" w14:textId="77777777" w:rsidR="00E220FD" w:rsidRPr="00E220FD" w:rsidRDefault="00E220FD" w:rsidP="00E220FD">
      <w:pPr>
        <w:pStyle w:val="Bullet"/>
      </w:pPr>
      <w:r w:rsidRPr="00E220FD">
        <w:t xml:space="preserve">Sussex Police </w:t>
      </w:r>
    </w:p>
    <w:p w14:paraId="011F63AD" w14:textId="77777777" w:rsidR="00E220FD" w:rsidRPr="00E220FD" w:rsidRDefault="00E220FD" w:rsidP="00E220FD">
      <w:pPr>
        <w:pStyle w:val="Bullet"/>
      </w:pPr>
      <w:r w:rsidRPr="00E220FD">
        <w:t>East Sussex Healthcare NHS Trust (ESHT)</w:t>
      </w:r>
    </w:p>
    <w:p w14:paraId="2C3F9A2C" w14:textId="77777777" w:rsidR="00E220FD" w:rsidRPr="00E220FD" w:rsidRDefault="00E220FD" w:rsidP="00E220FD">
      <w:pPr>
        <w:pStyle w:val="Bullet"/>
      </w:pPr>
      <w:r w:rsidRPr="00E220FD">
        <w:t xml:space="preserve">Safer East Sussex Team </w:t>
      </w:r>
    </w:p>
    <w:p w14:paraId="1F0A57EA" w14:textId="570DBB3B" w:rsidR="00E220FD" w:rsidRPr="00E220FD" w:rsidRDefault="00E220FD" w:rsidP="00E220FD">
      <w:pPr>
        <w:pStyle w:val="Bullet"/>
      </w:pPr>
      <w:r w:rsidRPr="00E220FD">
        <w:t>Rough Sleepers Initiative, E</w:t>
      </w:r>
      <w:r w:rsidR="00D828E8">
        <w:t>SCC</w:t>
      </w:r>
      <w:r w:rsidRPr="00E220FD">
        <w:t xml:space="preserve"> </w:t>
      </w:r>
    </w:p>
    <w:p w14:paraId="6ADB6763" w14:textId="77777777" w:rsidR="00E220FD" w:rsidRPr="00E220FD" w:rsidRDefault="00E220FD" w:rsidP="00E220FD">
      <w:pPr>
        <w:pStyle w:val="Bullet"/>
      </w:pPr>
      <w:r w:rsidRPr="00E220FD">
        <w:t xml:space="preserve">East Sussex District and Borough Councils </w:t>
      </w:r>
    </w:p>
    <w:p w14:paraId="7E1A2C12" w14:textId="77777777" w:rsidR="00E220FD" w:rsidRPr="00E220FD" w:rsidRDefault="00E220FD" w:rsidP="00E220FD">
      <w:pPr>
        <w:pStyle w:val="Bullet"/>
      </w:pPr>
      <w:r w:rsidRPr="00E220FD">
        <w:t>Sussex Partnership NHS Foundation Trust (SPFT)</w:t>
      </w:r>
    </w:p>
    <w:p w14:paraId="4D19B4BC" w14:textId="44D4A18C" w:rsidR="00E220FD" w:rsidRPr="00E220FD" w:rsidRDefault="00E220FD" w:rsidP="00E220FD">
      <w:pPr>
        <w:pStyle w:val="Bullet"/>
      </w:pPr>
      <w:r w:rsidRPr="00E220FD">
        <w:t xml:space="preserve">Sussex Community </w:t>
      </w:r>
      <w:r w:rsidR="00D828E8">
        <w:t xml:space="preserve">NHS </w:t>
      </w:r>
      <w:r w:rsidRPr="00E220FD">
        <w:t>Foundation Trust (SCFT)</w:t>
      </w:r>
    </w:p>
    <w:p w14:paraId="6E37766C" w14:textId="77777777" w:rsidR="00E220FD" w:rsidRPr="00E220FD" w:rsidRDefault="00E220FD" w:rsidP="00E220FD">
      <w:pPr>
        <w:pStyle w:val="Bullet"/>
      </w:pPr>
      <w:r w:rsidRPr="00E220FD">
        <w:t>Change, Grow, Live (CGL)</w:t>
      </w:r>
    </w:p>
    <w:p w14:paraId="60C6FD2D" w14:textId="2DE72DAC" w:rsidR="00E220FD" w:rsidRPr="00E220FD" w:rsidRDefault="00E220FD" w:rsidP="00E220FD">
      <w:pPr>
        <w:pStyle w:val="Bullet"/>
      </w:pPr>
      <w:r w:rsidRPr="00E220FD">
        <w:t>National Probation Service (</w:t>
      </w:r>
      <w:r w:rsidR="00D828E8">
        <w:t>N</w:t>
      </w:r>
      <w:r w:rsidRPr="00E220FD">
        <w:t>PS)</w:t>
      </w:r>
    </w:p>
    <w:p w14:paraId="4CEB8F93" w14:textId="77777777" w:rsidR="00E220FD" w:rsidRPr="00E220FD" w:rsidRDefault="00E220FD" w:rsidP="00E220FD">
      <w:pPr>
        <w:pStyle w:val="Bullet"/>
      </w:pPr>
      <w:r w:rsidRPr="00E220FD">
        <w:t>East Sussex Fire and Rescue Service (ESFRS)</w:t>
      </w:r>
    </w:p>
    <w:p w14:paraId="03EFC748" w14:textId="18CFD8E2" w:rsidR="00E220FD" w:rsidRPr="00E220FD" w:rsidRDefault="00E220FD" w:rsidP="00E220FD">
      <w:pPr>
        <w:pStyle w:val="Bullet"/>
        <w:spacing w:after="240"/>
      </w:pPr>
      <w:r w:rsidRPr="00E220FD">
        <w:t>Other SAB partners as and when required</w:t>
      </w:r>
      <w:r w:rsidR="00D828E8">
        <w:t>.</w:t>
      </w:r>
    </w:p>
    <w:bookmarkEnd w:id="10"/>
    <w:p w14:paraId="0A3048DC" w14:textId="33287580" w:rsidR="00E220FD" w:rsidRDefault="00BA3CA3" w:rsidP="00E220FD">
      <w:pPr>
        <w:pStyle w:val="BodyText"/>
      </w:pPr>
      <w:r>
        <w:t xml:space="preserve">All </w:t>
      </w:r>
      <w:r w:rsidR="00E220FD" w:rsidRPr="00E220FD">
        <w:t>MARM group members</w:t>
      </w:r>
      <w:r w:rsidR="008F3B5C">
        <w:t xml:space="preserve">, including </w:t>
      </w:r>
      <w:r w:rsidR="008F3B5C" w:rsidRPr="00E220FD">
        <w:t>representatives from SAB partner agencies</w:t>
      </w:r>
      <w:r w:rsidR="008F3B5C">
        <w:t>,</w:t>
      </w:r>
      <w:r w:rsidR="008F3B5C" w:rsidRPr="00E220FD">
        <w:t xml:space="preserve"> </w:t>
      </w:r>
      <w:r w:rsidR="00E220FD" w:rsidRPr="00E220FD">
        <w:t xml:space="preserve">need to </w:t>
      </w:r>
      <w:r>
        <w:t xml:space="preserve">have the authority </w:t>
      </w:r>
      <w:r w:rsidR="00E220FD" w:rsidRPr="00E220FD">
        <w:t xml:space="preserve">to </w:t>
      </w:r>
      <w:r>
        <w:t>approve</w:t>
      </w:r>
      <w:r w:rsidR="00E220FD" w:rsidRPr="00E220FD">
        <w:t xml:space="preserve"> resource</w:t>
      </w:r>
      <w:r>
        <w:t>s</w:t>
      </w:r>
      <w:r w:rsidR="00E220FD" w:rsidRPr="00E220FD">
        <w:t xml:space="preserve"> that might require decision-making outside of standard </w:t>
      </w:r>
      <w:r w:rsidRPr="00E220FD">
        <w:t>eligibility</w:t>
      </w:r>
      <w:r w:rsidR="00E220FD" w:rsidRPr="00E220FD">
        <w:t xml:space="preserve"> thresholds for intervention. </w:t>
      </w:r>
      <w:r w:rsidR="008F3B5C">
        <w:t>This will help the g</w:t>
      </w:r>
      <w:r w:rsidR="00E220FD" w:rsidRPr="00E220FD">
        <w:t xml:space="preserve">roup to </w:t>
      </w:r>
      <w:r w:rsidR="008F3B5C">
        <w:t xml:space="preserve">proactively </w:t>
      </w:r>
      <w:r w:rsidR="00E220FD" w:rsidRPr="00E220FD">
        <w:t xml:space="preserve">utilise resources and take decisions to </w:t>
      </w:r>
      <w:r w:rsidR="008F3B5C">
        <w:t>make progress with referred</w:t>
      </w:r>
      <w:r w:rsidR="00E220FD" w:rsidRPr="00E220FD">
        <w:t xml:space="preserve"> </w:t>
      </w:r>
      <w:r w:rsidR="008F3B5C">
        <w:t xml:space="preserve">cases </w:t>
      </w:r>
      <w:r w:rsidR="00E220FD" w:rsidRPr="00E220FD">
        <w:t>and mitigate risk</w:t>
      </w:r>
      <w:r w:rsidR="008F3B5C">
        <w:t>s</w:t>
      </w:r>
      <w:r w:rsidR="00E220FD" w:rsidRPr="00E220FD">
        <w:t>.</w:t>
      </w:r>
    </w:p>
    <w:p w14:paraId="5FCDED65" w14:textId="7A192616" w:rsidR="00E220FD" w:rsidRDefault="00E220FD" w:rsidP="00E220FD">
      <w:pPr>
        <w:pStyle w:val="BodyText"/>
      </w:pPr>
    </w:p>
    <w:p w14:paraId="038ED1BA" w14:textId="59419756" w:rsidR="007E314A" w:rsidRDefault="007E314A" w:rsidP="008F3B5C">
      <w:pPr>
        <w:pStyle w:val="BodyText"/>
      </w:pPr>
      <w:r>
        <w:t>MARM group meetings can take place</w:t>
      </w:r>
      <w:r w:rsidR="008F3B5C" w:rsidRPr="00E220FD">
        <w:t xml:space="preserve"> when there is representation from the Chair, the referring agency, and each of the three statutory agencies:</w:t>
      </w:r>
    </w:p>
    <w:p w14:paraId="29EA7413" w14:textId="44579229" w:rsidR="007E314A" w:rsidRDefault="008F3B5C" w:rsidP="00A779D7">
      <w:pPr>
        <w:pStyle w:val="Bullet"/>
      </w:pPr>
      <w:r w:rsidRPr="00E220FD">
        <w:t>Sussex Police</w:t>
      </w:r>
    </w:p>
    <w:p w14:paraId="4F613B72" w14:textId="7F023882" w:rsidR="007E314A" w:rsidRDefault="00D828E8" w:rsidP="00A779D7">
      <w:pPr>
        <w:pStyle w:val="Bullet"/>
      </w:pPr>
      <w:r>
        <w:t xml:space="preserve">NHS </w:t>
      </w:r>
      <w:r w:rsidR="008F3B5C" w:rsidRPr="00E220FD">
        <w:t>East Sussex CCG</w:t>
      </w:r>
    </w:p>
    <w:p w14:paraId="68A9AC9E" w14:textId="7CA9E5B8" w:rsidR="008F3B5C" w:rsidRDefault="008F3B5C" w:rsidP="007E314A">
      <w:pPr>
        <w:pStyle w:val="Bullet"/>
        <w:spacing w:after="240"/>
      </w:pPr>
      <w:r w:rsidRPr="00E220FD">
        <w:t>Adult Social Care</w:t>
      </w:r>
      <w:r w:rsidR="00AB09C0">
        <w:t xml:space="preserve"> &amp; Health</w:t>
      </w:r>
      <w:r w:rsidR="00975B1A">
        <w:t>.</w:t>
      </w:r>
      <w:r w:rsidRPr="00E220FD">
        <w:t xml:space="preserve"> </w:t>
      </w:r>
    </w:p>
    <w:p w14:paraId="0FB1DCA8" w14:textId="74C444E0" w:rsidR="006F39EA" w:rsidRDefault="004F6BCE" w:rsidP="00E220FD">
      <w:pPr>
        <w:pStyle w:val="BodyText"/>
      </w:pPr>
      <w:proofErr w:type="gramStart"/>
      <w:r>
        <w:t>In order for</w:t>
      </w:r>
      <w:proofErr w:type="gramEnd"/>
      <w:r>
        <w:t xml:space="preserve"> MARM meetings to be </w:t>
      </w:r>
      <w:r w:rsidR="00423521">
        <w:t>quorate the</w:t>
      </w:r>
      <w:r w:rsidR="00E220FD">
        <w:t xml:space="preserve"> Chair, Adult Social Care</w:t>
      </w:r>
      <w:r w:rsidR="00AB09C0">
        <w:t xml:space="preserve"> &amp; Health</w:t>
      </w:r>
      <w:r w:rsidR="00E220FD">
        <w:t xml:space="preserve">, Sussex Police, and </w:t>
      </w:r>
      <w:r w:rsidR="00D828E8">
        <w:t xml:space="preserve">NHS </w:t>
      </w:r>
      <w:r w:rsidR="00E220FD">
        <w:t xml:space="preserve">East Sussex CCG </w:t>
      </w:r>
      <w:r w:rsidR="007E314A">
        <w:t xml:space="preserve">must </w:t>
      </w:r>
      <w:r w:rsidR="00E220FD">
        <w:t>attend all meetings</w:t>
      </w:r>
      <w:r w:rsidR="007E314A">
        <w:t>.</w:t>
      </w:r>
    </w:p>
    <w:p w14:paraId="5B8AFC0A" w14:textId="77777777" w:rsidR="006F39EA" w:rsidRDefault="006F39EA" w:rsidP="00E220FD">
      <w:pPr>
        <w:pStyle w:val="BodyText"/>
      </w:pPr>
    </w:p>
    <w:p w14:paraId="58E964C8" w14:textId="71B9BBBC" w:rsidR="00E220FD" w:rsidRDefault="00E220FD" w:rsidP="00E220FD">
      <w:pPr>
        <w:pStyle w:val="BodyText"/>
      </w:pPr>
      <w:r>
        <w:t>Agencies who are not SAB partners involved in cases will be invited to attend MARM meetings as required.</w:t>
      </w:r>
    </w:p>
    <w:p w14:paraId="0CCC2201" w14:textId="77777777" w:rsidR="00E220FD" w:rsidRDefault="00E220FD" w:rsidP="00E220FD">
      <w:pPr>
        <w:pStyle w:val="BodyText"/>
      </w:pPr>
    </w:p>
    <w:p w14:paraId="31D71780" w14:textId="7D640445" w:rsidR="00E220FD" w:rsidRDefault="00E220FD" w:rsidP="00E220FD">
      <w:pPr>
        <w:pStyle w:val="BodyText"/>
        <w:spacing w:after="240"/>
      </w:pPr>
      <w:r>
        <w:t xml:space="preserve">Members who refer cases are expected to attend and discuss the case with the MARM group. The referring agency senior manager is </w:t>
      </w:r>
      <w:r w:rsidR="007E314A">
        <w:t xml:space="preserve">also </w:t>
      </w:r>
      <w:r>
        <w:t>expected to attend the MARM</w:t>
      </w:r>
      <w:r w:rsidR="007E314A">
        <w:t>. T</w:t>
      </w:r>
      <w:r>
        <w:t>hey can invite the officer from their agency who has the most knowledge of the</w:t>
      </w:r>
      <w:r w:rsidRPr="00E220FD">
        <w:t xml:space="preserve"> case.</w:t>
      </w:r>
    </w:p>
    <w:p w14:paraId="0596B07A" w14:textId="0104B758" w:rsidR="00E220FD" w:rsidRDefault="00E220FD" w:rsidP="00E220FD">
      <w:pPr>
        <w:pStyle w:val="Heading1"/>
      </w:pPr>
      <w:bookmarkStart w:id="11" w:name="_Toc90565760"/>
      <w:r w:rsidRPr="00E220FD">
        <w:lastRenderedPageBreak/>
        <w:t xml:space="preserve">Members’ </w:t>
      </w:r>
      <w:r w:rsidR="00BA3CA3">
        <w:t>r</w:t>
      </w:r>
      <w:r w:rsidRPr="00E220FD">
        <w:t>esponsibilities</w:t>
      </w:r>
      <w:bookmarkEnd w:id="11"/>
    </w:p>
    <w:p w14:paraId="60A09050" w14:textId="0C6ECA2C" w:rsidR="00E220FD" w:rsidRDefault="00E220FD" w:rsidP="00E220FD">
      <w:pPr>
        <w:pStyle w:val="BodyText"/>
      </w:pPr>
      <w:r w:rsidRPr="00E220FD">
        <w:t>MARM group members are responsible for:</w:t>
      </w:r>
    </w:p>
    <w:p w14:paraId="205892D5" w14:textId="2CFA4A37" w:rsidR="00E220FD" w:rsidRPr="00E220FD" w:rsidRDefault="00E220FD" w:rsidP="00E220FD">
      <w:pPr>
        <w:pStyle w:val="Bullet"/>
      </w:pPr>
      <w:r w:rsidRPr="00E220FD">
        <w:t>Committing their agency to actions and arranging these to be carried out.</w:t>
      </w:r>
    </w:p>
    <w:p w14:paraId="52B57983" w14:textId="60ED3B67" w:rsidR="00E220FD" w:rsidRPr="00E220FD" w:rsidRDefault="00E220FD" w:rsidP="00E220FD">
      <w:pPr>
        <w:pStyle w:val="Bullet"/>
      </w:pPr>
      <w:r w:rsidRPr="00E220FD">
        <w:t>Referring cases to the group and making colleagues in their agency aware of the MARM referral process.</w:t>
      </w:r>
    </w:p>
    <w:p w14:paraId="7B8C971E" w14:textId="6D90A051" w:rsidR="00E220FD" w:rsidRPr="00E220FD" w:rsidRDefault="00E220FD" w:rsidP="00E220FD">
      <w:pPr>
        <w:pStyle w:val="Bullet"/>
      </w:pPr>
      <w:r w:rsidRPr="00E220FD">
        <w:t xml:space="preserve">Bringing to the MARM group any information, involvement, </w:t>
      </w:r>
      <w:proofErr w:type="gramStart"/>
      <w:r w:rsidRPr="00E220FD">
        <w:t>actions</w:t>
      </w:r>
      <w:proofErr w:type="gramEnd"/>
      <w:r w:rsidRPr="00E220FD">
        <w:t xml:space="preserve"> or case work carried out with an adult</w:t>
      </w:r>
      <w:r w:rsidR="0075422A">
        <w:t xml:space="preserve">. This may </w:t>
      </w:r>
      <w:r w:rsidRPr="00E220FD">
        <w:t>includ</w:t>
      </w:r>
      <w:r w:rsidR="0075422A">
        <w:t>e</w:t>
      </w:r>
      <w:r w:rsidRPr="00E220FD">
        <w:t xml:space="preserve"> relevant information from an allocated professional working directly with the person referred (if applicable).</w:t>
      </w:r>
    </w:p>
    <w:p w14:paraId="7527F50B" w14:textId="77777777" w:rsidR="0075422A" w:rsidRDefault="00E220FD" w:rsidP="00E220FD">
      <w:pPr>
        <w:pStyle w:val="Bullet"/>
      </w:pPr>
      <w:r w:rsidRPr="00E220FD">
        <w:t>Providing the MARM with information on agencies involved with the person. This should also include consulting with the Rough Sleeper Initiative (RSI) to establish if SPFT and ESHT staff seconded to the RSI service are involved.</w:t>
      </w:r>
    </w:p>
    <w:p w14:paraId="7E433347" w14:textId="54AA8C28" w:rsidR="00E220FD" w:rsidRPr="00E220FD" w:rsidRDefault="00E220FD" w:rsidP="00E220FD">
      <w:pPr>
        <w:pStyle w:val="Bullet"/>
      </w:pPr>
      <w:r w:rsidRPr="00E220FD">
        <w:t>Notifying agencies involved with a client when a referral is made to the MARM</w:t>
      </w:r>
      <w:r w:rsidR="00A779D7">
        <w:t xml:space="preserve"> group</w:t>
      </w:r>
      <w:r w:rsidRPr="00E220FD">
        <w:t>.</w:t>
      </w:r>
    </w:p>
    <w:p w14:paraId="731319AF" w14:textId="6205D86C" w:rsidR="00E220FD" w:rsidRDefault="00E220FD" w:rsidP="00E220FD">
      <w:pPr>
        <w:pStyle w:val="Bullet"/>
        <w:spacing w:after="240"/>
      </w:pPr>
      <w:r w:rsidRPr="00E220FD">
        <w:t>Providing a well</w:t>
      </w:r>
      <w:r w:rsidR="0075422A">
        <w:t>-</w:t>
      </w:r>
      <w:r w:rsidRPr="00E220FD">
        <w:t xml:space="preserve">briefed </w:t>
      </w:r>
      <w:r w:rsidR="0075422A" w:rsidRPr="00E220FD">
        <w:t>representative</w:t>
      </w:r>
      <w:r w:rsidRPr="00E220FD">
        <w:t xml:space="preserve"> if a member is unable to attend</w:t>
      </w:r>
      <w:r w:rsidR="0075422A">
        <w:t>.</w:t>
      </w:r>
      <w:r w:rsidRPr="00E220FD">
        <w:t xml:space="preserve"> </w:t>
      </w:r>
      <w:r w:rsidR="0075422A">
        <w:t>They must be</w:t>
      </w:r>
      <w:r w:rsidRPr="00E220FD">
        <w:t xml:space="preserve"> able to fully contribute to the discussions, make decisions and allocate resources on behalf of their organisation.</w:t>
      </w:r>
    </w:p>
    <w:p w14:paraId="1E0C06E1" w14:textId="77777777" w:rsidR="003E264C" w:rsidRDefault="003E264C" w:rsidP="006F39EA">
      <w:pPr>
        <w:pStyle w:val="BodyText"/>
      </w:pPr>
      <w:r>
        <w:t>The referring agency is responsible for:</w:t>
      </w:r>
    </w:p>
    <w:p w14:paraId="19E7A386" w14:textId="0C194C10" w:rsidR="0054405C" w:rsidRDefault="0054405C">
      <w:pPr>
        <w:pStyle w:val="Bullet"/>
      </w:pPr>
      <w:r>
        <w:t xml:space="preserve">Considering all options within current threshold criteria, and existing multi-agency functions, such as safeguarding adults, self-neglect procedures, </w:t>
      </w:r>
      <w:r w:rsidR="004F6BCE">
        <w:t>undertaking m</w:t>
      </w:r>
      <w:r>
        <w:t xml:space="preserve">ental </w:t>
      </w:r>
      <w:r w:rsidR="004F6BCE">
        <w:t>c</w:t>
      </w:r>
      <w:r>
        <w:t>apacity assessment</w:t>
      </w:r>
      <w:r w:rsidR="004F6BCE">
        <w:t>s</w:t>
      </w:r>
      <w:r>
        <w:t xml:space="preserve">, </w:t>
      </w:r>
      <w:proofErr w:type="gramStart"/>
      <w:r>
        <w:t>MARAC</w:t>
      </w:r>
      <w:proofErr w:type="gramEnd"/>
      <w:r>
        <w:t xml:space="preserve"> and MAPPA, before </w:t>
      </w:r>
      <w:r w:rsidR="004D7B71">
        <w:t>referring</w:t>
      </w:r>
      <w:r>
        <w:t xml:space="preserve"> to the MARM.</w:t>
      </w:r>
    </w:p>
    <w:p w14:paraId="48F3F7F3" w14:textId="166F95F3" w:rsidR="003E264C" w:rsidRDefault="00493A8D" w:rsidP="00A779D7">
      <w:pPr>
        <w:pStyle w:val="Bullet"/>
      </w:pPr>
      <w:r>
        <w:t>C</w:t>
      </w:r>
      <w:r w:rsidR="003E264C">
        <w:t>ases presented to the MARM group.</w:t>
      </w:r>
    </w:p>
    <w:p w14:paraId="6DB6BECD" w14:textId="72FEB9AD" w:rsidR="003E264C" w:rsidRDefault="003E264C" w:rsidP="00A779D7">
      <w:pPr>
        <w:pStyle w:val="Bullet"/>
      </w:pPr>
      <w:r>
        <w:t>Undertaking actions until the</w:t>
      </w:r>
      <w:r w:rsidR="00493A8D">
        <w:t xml:space="preserve"> person they refer is</w:t>
      </w:r>
      <w:r>
        <w:t xml:space="preserve"> discharged </w:t>
      </w:r>
      <w:r w:rsidR="00D828E8">
        <w:t xml:space="preserve">from the MARM process </w:t>
      </w:r>
      <w:r>
        <w:t xml:space="preserve">or </w:t>
      </w:r>
      <w:r w:rsidR="00493A8D">
        <w:t xml:space="preserve">the case is </w:t>
      </w:r>
      <w:r>
        <w:t>escalated where necessary.</w:t>
      </w:r>
    </w:p>
    <w:p w14:paraId="5C74C422" w14:textId="77777777" w:rsidR="00493A8D" w:rsidRDefault="003E264C" w:rsidP="00A779D7">
      <w:pPr>
        <w:pStyle w:val="Bullet"/>
      </w:pPr>
      <w:r>
        <w:t>A</w:t>
      </w:r>
      <w:r w:rsidR="006F39EA" w:rsidRPr="006F39EA">
        <w:t>ct</w:t>
      </w:r>
      <w:r>
        <w:t>ing</w:t>
      </w:r>
      <w:r w:rsidR="006F39EA" w:rsidRPr="006F39EA">
        <w:t xml:space="preserve"> on the advice and guidance </w:t>
      </w:r>
      <w:r>
        <w:t xml:space="preserve">given at MARM meetings. This may involve </w:t>
      </w:r>
      <w:r w:rsidR="006F39EA" w:rsidRPr="006F39EA">
        <w:t>delegati</w:t>
      </w:r>
      <w:r>
        <w:t>ng</w:t>
      </w:r>
      <w:r w:rsidR="006F39EA" w:rsidRPr="006F39EA">
        <w:t xml:space="preserve"> actions to other agencies including the lead agency identified by the MARM.</w:t>
      </w:r>
    </w:p>
    <w:p w14:paraId="0ED09E1D" w14:textId="36928FFD" w:rsidR="00980F10" w:rsidRDefault="003E264C" w:rsidP="00A779D7">
      <w:pPr>
        <w:pStyle w:val="Bullet"/>
        <w:spacing w:after="0"/>
      </w:pPr>
      <w:r>
        <w:t>Updating their own recording systems with the MARM record of actions and referral forms relating to the MARM.</w:t>
      </w:r>
    </w:p>
    <w:p w14:paraId="19A443AF" w14:textId="21DD4098" w:rsidR="00E220FD" w:rsidRPr="00E220FD" w:rsidRDefault="00E220FD" w:rsidP="00A779D7">
      <w:pPr>
        <w:pStyle w:val="Heading1"/>
        <w:spacing w:before="240"/>
      </w:pPr>
      <w:bookmarkStart w:id="12" w:name="_Toc90565761"/>
      <w:r w:rsidRPr="00E220FD">
        <w:t>Meeting administration, frequency, recording and information sharing</w:t>
      </w:r>
      <w:bookmarkEnd w:id="12"/>
    </w:p>
    <w:p w14:paraId="634D5446" w14:textId="24586033" w:rsidR="00E220FD" w:rsidRDefault="00E220FD" w:rsidP="00E220FD">
      <w:pPr>
        <w:pStyle w:val="BodyText"/>
      </w:pPr>
      <w:r>
        <w:t>The MARM group will meet once a month</w:t>
      </w:r>
      <w:r w:rsidR="0075422A">
        <w:t xml:space="preserve">. Each MARM meeting </w:t>
      </w:r>
      <w:r>
        <w:t>will be chaired by the Head of Adult Safeguarding (Adult Social Care</w:t>
      </w:r>
      <w:r w:rsidR="00AB09C0">
        <w:t xml:space="preserve"> &amp; Health</w:t>
      </w:r>
      <w:r>
        <w:t xml:space="preserve">) who will be responsible </w:t>
      </w:r>
      <w:r>
        <w:lastRenderedPageBreak/>
        <w:t xml:space="preserve">for scheduling </w:t>
      </w:r>
      <w:r w:rsidR="0075422A">
        <w:t xml:space="preserve">the </w:t>
      </w:r>
      <w:r>
        <w:t>meetings and circulating papers. Meetings will be scheduled for a maximum of two hours and cases will be capped at six per meeting.</w:t>
      </w:r>
    </w:p>
    <w:p w14:paraId="28A6DDD1" w14:textId="28C4C231" w:rsidR="00E220FD" w:rsidRDefault="00E220FD" w:rsidP="00A779D7">
      <w:pPr>
        <w:pStyle w:val="BodyText"/>
        <w:spacing w:before="240" w:after="240"/>
      </w:pPr>
      <w:r>
        <w:t xml:space="preserve">Member agencies are responsible for submitting referrals, risk assessments and research information </w:t>
      </w:r>
      <w:r w:rsidR="0075422A">
        <w:t xml:space="preserve">to the MARM. This should be sent </w:t>
      </w:r>
      <w:r>
        <w:t xml:space="preserve">at least 10 working days </w:t>
      </w:r>
      <w:r w:rsidR="0075422A">
        <w:t>before</w:t>
      </w:r>
      <w:r>
        <w:t xml:space="preserve"> the MARM</w:t>
      </w:r>
      <w:r w:rsidR="0075422A">
        <w:t xml:space="preserve"> meeting</w:t>
      </w:r>
      <w:r>
        <w:t>.</w:t>
      </w:r>
    </w:p>
    <w:p w14:paraId="296B1AB4" w14:textId="1A589013" w:rsidR="006F39EA" w:rsidRDefault="00E220FD" w:rsidP="00E220FD">
      <w:pPr>
        <w:pStyle w:val="BodyText"/>
      </w:pPr>
      <w:r>
        <w:t>The MARM Chair, Adult Social Care</w:t>
      </w:r>
      <w:r w:rsidR="00AB09C0">
        <w:t xml:space="preserve"> &amp; Health</w:t>
      </w:r>
      <w:r>
        <w:t xml:space="preserve">, </w:t>
      </w:r>
      <w:r w:rsidR="004F6BCE">
        <w:t xml:space="preserve">NHS </w:t>
      </w:r>
      <w:r>
        <w:t xml:space="preserve">East Sussex CCG, and </w:t>
      </w:r>
      <w:r w:rsidR="004F6BCE">
        <w:t>Sussex</w:t>
      </w:r>
      <w:r>
        <w:t xml:space="preserve"> Police will meet five working days before each group meeting to decide which referrals meet the MARM criteria. </w:t>
      </w:r>
      <w:r w:rsidR="006F39EA">
        <w:t>They must also agree which member agencies will attend the MARM meeting based on their case involvement and their potential to contribute.</w:t>
      </w:r>
    </w:p>
    <w:p w14:paraId="078DB756" w14:textId="6C4C2DD7" w:rsidR="00E220FD" w:rsidRDefault="006F39EA" w:rsidP="00A779D7">
      <w:pPr>
        <w:pStyle w:val="BodyText"/>
        <w:spacing w:before="240" w:after="240"/>
      </w:pPr>
      <w:r>
        <w:t>For cases that do not meet</w:t>
      </w:r>
      <w:r w:rsidR="00E220FD">
        <w:t xml:space="preserve"> the</w:t>
      </w:r>
      <w:r>
        <w:t xml:space="preserve"> referral</w:t>
      </w:r>
      <w:r w:rsidR="00E220FD">
        <w:t xml:space="preserve"> criteria, </w:t>
      </w:r>
      <w:r>
        <w:t xml:space="preserve">the Chair will </w:t>
      </w:r>
      <w:r w:rsidR="00E220FD">
        <w:t>advi</w:t>
      </w:r>
      <w:r>
        <w:t>s</w:t>
      </w:r>
      <w:r w:rsidR="00E220FD">
        <w:t xml:space="preserve">e the referring agency </w:t>
      </w:r>
      <w:r>
        <w:t>about</w:t>
      </w:r>
      <w:r w:rsidR="00E220FD">
        <w:t xml:space="preserve"> where the case can be redirected to. Where the criteria </w:t>
      </w:r>
      <w:proofErr w:type="gramStart"/>
      <w:r w:rsidR="00E220FD">
        <w:t>is</w:t>
      </w:r>
      <w:proofErr w:type="gramEnd"/>
      <w:r w:rsidR="00E220FD">
        <w:t xml:space="preserve"> met, </w:t>
      </w:r>
      <w:r>
        <w:t xml:space="preserve">meeting </w:t>
      </w:r>
      <w:r w:rsidR="00E220FD">
        <w:t>invites and papers will be sent to the relevant agencies. The referring agency will always be invited to attend the group meeting. The Chair will notify member agencies that do not need to attend. If there are no cases the MARM will not be convened.</w:t>
      </w:r>
    </w:p>
    <w:p w14:paraId="345682B4" w14:textId="516F2C0B" w:rsidR="00E220FD" w:rsidRDefault="00E220FD" w:rsidP="00E220FD">
      <w:pPr>
        <w:pStyle w:val="BodyText"/>
      </w:pPr>
      <w:r>
        <w:t>Where it is not clear who should be the lead agency, the MARM will invite all agencies involved to agree which agency will lead on a case.</w:t>
      </w:r>
    </w:p>
    <w:p w14:paraId="54DF6C73" w14:textId="30F9880D" w:rsidR="00E220FD" w:rsidRDefault="00E220FD" w:rsidP="00A779D7">
      <w:pPr>
        <w:pStyle w:val="BodyText"/>
        <w:spacing w:before="240" w:after="240"/>
      </w:pPr>
      <w:r>
        <w:t xml:space="preserve">The MARM group is an advisory group and therefore will not ‘hold </w:t>
      </w:r>
      <w:proofErr w:type="gramStart"/>
      <w:r>
        <w:t>cases</w:t>
      </w:r>
      <w:r w:rsidR="006F39EA">
        <w:t>’</w:t>
      </w:r>
      <w:proofErr w:type="gramEnd"/>
      <w:r>
        <w:t>. It may however decide to schedule specific cases for further discussion(s) to follow up on agreed actions.</w:t>
      </w:r>
    </w:p>
    <w:p w14:paraId="242A4085" w14:textId="2A532EDA" w:rsidR="00E220FD" w:rsidRDefault="00E220FD" w:rsidP="00E220FD">
      <w:pPr>
        <w:pStyle w:val="BodyText"/>
      </w:pPr>
      <w:r>
        <w:t xml:space="preserve">The MARM will record the </w:t>
      </w:r>
      <w:r w:rsidR="003E264C">
        <w:t xml:space="preserve">agreed </w:t>
      </w:r>
      <w:r>
        <w:t xml:space="preserve">actions </w:t>
      </w:r>
      <w:r w:rsidR="004F6BCE">
        <w:t xml:space="preserve">and </w:t>
      </w:r>
      <w:r w:rsidR="003E264C">
        <w:t>timeframes</w:t>
      </w:r>
      <w:r>
        <w:t xml:space="preserve"> for each agency.</w:t>
      </w:r>
    </w:p>
    <w:p w14:paraId="5EE14FC5" w14:textId="35FA870F" w:rsidR="00E220FD" w:rsidRDefault="00E220FD" w:rsidP="00A779D7">
      <w:pPr>
        <w:pStyle w:val="BodyText"/>
        <w:spacing w:before="240" w:after="240"/>
      </w:pPr>
      <w:r>
        <w:t xml:space="preserve">Information gathering and sharing is key to the assessment, identification, and management of risk. The use and sharing of information by the MARM </w:t>
      </w:r>
      <w:r w:rsidR="00493A8D">
        <w:t xml:space="preserve">group </w:t>
      </w:r>
      <w:r>
        <w:t>will respect confidentiality and the principles outlined in the Data Protection Act and Caldicott Guidelines</w:t>
      </w:r>
      <w:r w:rsidR="00493A8D">
        <w:t>.</w:t>
      </w:r>
      <w:r>
        <w:t xml:space="preserve"> </w:t>
      </w:r>
      <w:r w:rsidR="00493A8D">
        <w:t xml:space="preserve">Their actions </w:t>
      </w:r>
      <w:r>
        <w:t xml:space="preserve">will be proportionate to the </w:t>
      </w:r>
      <w:r w:rsidR="00493A8D">
        <w:t xml:space="preserve">individual’s </w:t>
      </w:r>
      <w:r>
        <w:t>level of risk and the</w:t>
      </w:r>
      <w:r w:rsidR="00493A8D">
        <w:t>ir</w:t>
      </w:r>
      <w:r>
        <w:t xml:space="preserve"> circumstances. </w:t>
      </w:r>
      <w:r w:rsidR="00493A8D">
        <w:t>All agencies should refer to t</w:t>
      </w:r>
      <w:r>
        <w:t xml:space="preserve">he </w:t>
      </w:r>
      <w:hyperlink r:id="rId18" w:history="1">
        <w:r w:rsidRPr="00493A8D">
          <w:rPr>
            <w:rStyle w:val="Hyperlink"/>
          </w:rPr>
          <w:t>Sussex SAB’s Information Sharing Guide and Protocol</w:t>
        </w:r>
      </w:hyperlink>
      <w:r>
        <w:t>.</w:t>
      </w:r>
    </w:p>
    <w:p w14:paraId="0F66DCD2" w14:textId="14A2E9B7" w:rsidR="00E220FD" w:rsidRDefault="00E220FD" w:rsidP="00E220FD">
      <w:pPr>
        <w:pStyle w:val="Heading1"/>
      </w:pPr>
      <w:bookmarkStart w:id="13" w:name="_Consent_to_share"/>
      <w:bookmarkStart w:id="14" w:name="_Toc90565762"/>
      <w:bookmarkEnd w:id="13"/>
      <w:r w:rsidRPr="00E220FD">
        <w:t xml:space="preserve">Consent to </w:t>
      </w:r>
      <w:r w:rsidR="00493A8D">
        <w:t>s</w:t>
      </w:r>
      <w:r w:rsidRPr="00E220FD">
        <w:t xml:space="preserve">hare </w:t>
      </w:r>
      <w:r w:rsidR="00493A8D">
        <w:t>i</w:t>
      </w:r>
      <w:r w:rsidRPr="00E220FD">
        <w:t>nformation</w:t>
      </w:r>
      <w:bookmarkEnd w:id="14"/>
    </w:p>
    <w:p w14:paraId="69B61F9E" w14:textId="71F203BB" w:rsidR="00E220FD" w:rsidRDefault="00E220FD" w:rsidP="00E220FD">
      <w:pPr>
        <w:pStyle w:val="BodyText"/>
      </w:pPr>
      <w:r w:rsidRPr="00E220FD">
        <w:t xml:space="preserve">If an adult refuses intervention to support them with a safeguarding concern, or requests that information about them is not shared with other safeguarding partners, in general, their wishes should be respected. However, there are </w:t>
      </w:r>
      <w:proofErr w:type="gramStart"/>
      <w:r w:rsidRPr="00E220FD">
        <w:t>a number of</w:t>
      </w:r>
      <w:proofErr w:type="gramEnd"/>
      <w:r w:rsidRPr="00E220FD">
        <w:t xml:space="preserve"> circumstances where professionals can reasonably override such a decision, including when:</w:t>
      </w:r>
    </w:p>
    <w:p w14:paraId="0CF5BDE1" w14:textId="409867D9" w:rsidR="00E220FD" w:rsidRPr="00E220FD" w:rsidRDefault="00E220FD" w:rsidP="00E220FD">
      <w:pPr>
        <w:pStyle w:val="Bullet"/>
      </w:pPr>
      <w:r w:rsidRPr="00E220FD">
        <w:t>The adult lacks the mental capacity to make that decision</w:t>
      </w:r>
      <w:r w:rsidR="00493A8D">
        <w:t>. T</w:t>
      </w:r>
      <w:r w:rsidRPr="00E220FD">
        <w:t>his must be properly assessed and recorded in line with the Mental Capacity Act</w:t>
      </w:r>
      <w:r w:rsidR="004F6BCE">
        <w:t xml:space="preserve"> 2005.</w:t>
      </w:r>
    </w:p>
    <w:p w14:paraId="7C0EEAFC" w14:textId="31D4C82C" w:rsidR="00E220FD" w:rsidRPr="00E220FD" w:rsidRDefault="00E220FD" w:rsidP="00E220FD">
      <w:pPr>
        <w:pStyle w:val="Bullet"/>
      </w:pPr>
      <w:r w:rsidRPr="00E220FD">
        <w:t>Emergency or life-threatening situations may warrant the sharing of relevant information with the emergency services without consent</w:t>
      </w:r>
      <w:r w:rsidR="004F6BCE">
        <w:t>.</w:t>
      </w:r>
    </w:p>
    <w:p w14:paraId="04D09643" w14:textId="4B101FBE" w:rsidR="00E220FD" w:rsidRPr="00E220FD" w:rsidRDefault="00E220FD" w:rsidP="00E220FD">
      <w:pPr>
        <w:pStyle w:val="Bullet"/>
      </w:pPr>
      <w:r w:rsidRPr="00E220FD">
        <w:lastRenderedPageBreak/>
        <w:t>Other people are, or may be, at risk, including children</w:t>
      </w:r>
      <w:r w:rsidR="004F6BCE">
        <w:t>.</w:t>
      </w:r>
    </w:p>
    <w:p w14:paraId="05C692A8" w14:textId="449E9B1C" w:rsidR="00E220FD" w:rsidRPr="00E220FD" w:rsidRDefault="00E220FD" w:rsidP="00E220FD">
      <w:pPr>
        <w:pStyle w:val="Bullet"/>
      </w:pPr>
      <w:r w:rsidRPr="00E220FD">
        <w:t>Sharing the information could prevent a serious crime</w:t>
      </w:r>
      <w:r w:rsidR="004F6BCE">
        <w:t>.</w:t>
      </w:r>
    </w:p>
    <w:p w14:paraId="2A7310C4" w14:textId="13B147E8" w:rsidR="00E220FD" w:rsidRPr="00E220FD" w:rsidRDefault="00E220FD" w:rsidP="00E220FD">
      <w:pPr>
        <w:pStyle w:val="Bullet"/>
      </w:pPr>
      <w:r w:rsidRPr="00E220FD">
        <w:t>A serious crime has been committed</w:t>
      </w:r>
      <w:r w:rsidR="004F6BCE">
        <w:t>.</w:t>
      </w:r>
    </w:p>
    <w:p w14:paraId="74C65F62" w14:textId="132054BE" w:rsidR="00E220FD" w:rsidRPr="00E220FD" w:rsidRDefault="00E220FD" w:rsidP="00E220FD">
      <w:pPr>
        <w:pStyle w:val="Bullet"/>
      </w:pPr>
      <w:r w:rsidRPr="00E220FD">
        <w:t xml:space="preserve">The risk is unreasonably high and duty of care to the individual or others </w:t>
      </w:r>
      <w:proofErr w:type="gramStart"/>
      <w:r w:rsidRPr="00E220FD">
        <w:t>has to</w:t>
      </w:r>
      <w:proofErr w:type="gramEnd"/>
      <w:r w:rsidRPr="00E220FD">
        <w:t xml:space="preserve"> be considered</w:t>
      </w:r>
      <w:r w:rsidR="004F6BCE">
        <w:t>.</w:t>
      </w:r>
    </w:p>
    <w:p w14:paraId="10BF6C8F" w14:textId="5A5FBF1C" w:rsidR="00E220FD" w:rsidRPr="00E220FD" w:rsidRDefault="00E220FD" w:rsidP="00E220FD">
      <w:pPr>
        <w:pStyle w:val="Bullet"/>
      </w:pPr>
      <w:r w:rsidRPr="00E220FD">
        <w:t xml:space="preserve">Staff </w:t>
      </w:r>
      <w:bookmarkStart w:id="15" w:name="_Hlk83584704"/>
      <w:r w:rsidRPr="00E220FD">
        <w:t xml:space="preserve">in a position of trust </w:t>
      </w:r>
      <w:bookmarkEnd w:id="15"/>
      <w:r w:rsidRPr="00E220FD">
        <w:t>are implicated</w:t>
      </w:r>
      <w:r w:rsidR="004F6BCE">
        <w:t>.</w:t>
      </w:r>
    </w:p>
    <w:p w14:paraId="6C86096D" w14:textId="263376F5" w:rsidR="00E220FD" w:rsidRDefault="00E220FD" w:rsidP="00E220FD">
      <w:pPr>
        <w:pStyle w:val="Bullet"/>
        <w:spacing w:after="240"/>
      </w:pPr>
      <w:r w:rsidRPr="00E220FD">
        <w:t xml:space="preserve">There is a court order or other legal authority for </w:t>
      </w:r>
      <w:proofErr w:type="gramStart"/>
      <w:r w:rsidRPr="00E220FD">
        <w:t>taking action</w:t>
      </w:r>
      <w:proofErr w:type="gramEnd"/>
      <w:r w:rsidRPr="00E220FD">
        <w:t xml:space="preserve"> without consent</w:t>
      </w:r>
      <w:r w:rsidR="004F6BCE">
        <w:t>.</w:t>
      </w:r>
    </w:p>
    <w:p w14:paraId="0BAD83A7" w14:textId="41F86A32" w:rsidR="00E220FD" w:rsidRDefault="00E220FD" w:rsidP="00E220FD">
      <w:pPr>
        <w:pStyle w:val="BodyText"/>
      </w:pPr>
      <w:r>
        <w:t>In such circumstances, it is important to keep a record of the decision-making process. Professionals should seek advice from managers in line within their organisations’ policy before overriding the adult’s decision, except in emergency situations.</w:t>
      </w:r>
    </w:p>
    <w:p w14:paraId="4F7EB429" w14:textId="600A30B8" w:rsidR="00E220FD" w:rsidRDefault="00E220FD" w:rsidP="00A779D7">
      <w:pPr>
        <w:pStyle w:val="BodyText"/>
        <w:spacing w:before="240" w:after="240"/>
      </w:pPr>
      <w:r>
        <w:t xml:space="preserve">Managers should make decisions based on whether there is an overriding reason which makes it necessary to </w:t>
      </w:r>
      <w:r w:rsidR="00FB6B58">
        <w:t>share information</w:t>
      </w:r>
      <w:r>
        <w:t xml:space="preserve"> without consent</w:t>
      </w:r>
      <w:r w:rsidR="00FB6B58">
        <w:t>.</w:t>
      </w:r>
      <w:r>
        <w:t xml:space="preserve"> </w:t>
      </w:r>
      <w:r w:rsidR="00FB6B58">
        <w:t>They must also consider if acting without consent</w:t>
      </w:r>
      <w:r>
        <w:t xml:space="preserve"> is proportionate </w:t>
      </w:r>
      <w:r w:rsidR="00FB6B58">
        <w:t xml:space="preserve">if </w:t>
      </w:r>
      <w:r>
        <w:t xml:space="preserve">there is no less intrusive way of ensuring safety. </w:t>
      </w:r>
      <w:r w:rsidR="00FB6B58">
        <w:t>Follow l</w:t>
      </w:r>
      <w:r>
        <w:t>egal advice where appropriate.</w:t>
      </w:r>
    </w:p>
    <w:p w14:paraId="5093F4DD" w14:textId="411D76CE" w:rsidR="00FB6B58" w:rsidRDefault="00E220FD" w:rsidP="00E220FD">
      <w:pPr>
        <w:pStyle w:val="BodyText"/>
      </w:pPr>
      <w:r>
        <w:t xml:space="preserve">If the decision is to </w:t>
      </w:r>
      <w:proofErr w:type="gramStart"/>
      <w:r>
        <w:t>take action</w:t>
      </w:r>
      <w:proofErr w:type="gramEnd"/>
      <w:r>
        <w:t xml:space="preserve"> without the adult’s consent, then unless it is unsafe to do so, the adult should be informed that this is being done and of the reasons why.</w:t>
      </w:r>
    </w:p>
    <w:p w14:paraId="7ADD1867" w14:textId="22639CD2" w:rsidR="00E220FD" w:rsidRDefault="00FB6B58" w:rsidP="00A779D7">
      <w:pPr>
        <w:pStyle w:val="BodyText"/>
        <w:spacing w:before="240" w:after="240"/>
      </w:pPr>
      <w:r>
        <w:t>I</w:t>
      </w:r>
      <w:r w:rsidR="00E220FD">
        <w:t xml:space="preserve">f there are any other adults or children at risk of abuse, please seek advice from the Safeguarding Lead for your organisation and consider referrals to </w:t>
      </w:r>
      <w:r w:rsidRPr="00FB6B58">
        <w:t xml:space="preserve">Health and Social Care Connect </w:t>
      </w:r>
      <w:r>
        <w:t>(</w:t>
      </w:r>
      <w:r w:rsidR="00E220FD">
        <w:t>HSCC</w:t>
      </w:r>
      <w:r>
        <w:t>)</w:t>
      </w:r>
      <w:r w:rsidR="00E220FD">
        <w:t xml:space="preserve"> or </w:t>
      </w:r>
      <w:r>
        <w:t xml:space="preserve">the </w:t>
      </w:r>
      <w:r w:rsidRPr="00FB6B58">
        <w:t xml:space="preserve">Single Point of Advice </w:t>
      </w:r>
      <w:r>
        <w:t>(</w:t>
      </w:r>
      <w:r w:rsidR="00E220FD">
        <w:t>SPOA</w:t>
      </w:r>
      <w:r>
        <w:t>)</w:t>
      </w:r>
      <w:r w:rsidR="00E220FD">
        <w:t>.</w:t>
      </w:r>
    </w:p>
    <w:p w14:paraId="48A460AD" w14:textId="1BF9469A" w:rsidR="00E220FD" w:rsidRDefault="00E220FD" w:rsidP="00E220FD">
      <w:pPr>
        <w:pStyle w:val="Heading1"/>
      </w:pPr>
      <w:bookmarkStart w:id="16" w:name="_Toc90565763"/>
      <w:r w:rsidRPr="00E220FD">
        <w:t>Governance</w:t>
      </w:r>
      <w:r w:rsidR="001B48F7">
        <w:t xml:space="preserve"> and review</w:t>
      </w:r>
      <w:bookmarkEnd w:id="16"/>
    </w:p>
    <w:p w14:paraId="02D18BC1" w14:textId="24296697" w:rsidR="00E83FD3" w:rsidRDefault="00E220FD" w:rsidP="00E220FD">
      <w:pPr>
        <w:pStyle w:val="BodyText"/>
      </w:pPr>
      <w:r>
        <w:t>A report will be presented to the E</w:t>
      </w:r>
      <w:r w:rsidR="004F6BCE">
        <w:t xml:space="preserve">ast </w:t>
      </w:r>
      <w:r>
        <w:t>S</w:t>
      </w:r>
      <w:r w:rsidR="004F6BCE">
        <w:t xml:space="preserve">ussex </w:t>
      </w:r>
      <w:r>
        <w:t>SAB on a quarterly basis on progress of the MARM.</w:t>
      </w:r>
    </w:p>
    <w:p w14:paraId="53BFD513" w14:textId="3B1EDB3D" w:rsidR="00E83FD3" w:rsidRDefault="00E83FD3" w:rsidP="00A779D7">
      <w:pPr>
        <w:pStyle w:val="BodyText"/>
        <w:spacing w:before="240" w:after="240"/>
      </w:pPr>
      <w:r>
        <w:t xml:space="preserve">The MARM group will run as a pilot from </w:t>
      </w:r>
      <w:r w:rsidR="004F6BCE">
        <w:t>December</w:t>
      </w:r>
      <w:r>
        <w:t xml:space="preserve"> 2021 to </w:t>
      </w:r>
      <w:r w:rsidR="004F6BCE">
        <w:t>June</w:t>
      </w:r>
      <w:r>
        <w:t xml:space="preserve"> 2022.</w:t>
      </w:r>
    </w:p>
    <w:p w14:paraId="7B085E69" w14:textId="4C67F907" w:rsidR="00E220FD" w:rsidRDefault="00E83FD3" w:rsidP="00E220FD">
      <w:pPr>
        <w:pStyle w:val="BodyText"/>
      </w:pPr>
      <w:r>
        <w:t xml:space="preserve">A review will be completed in </w:t>
      </w:r>
      <w:r w:rsidR="004F6BCE">
        <w:t>June</w:t>
      </w:r>
      <w:r>
        <w:t xml:space="preserve"> 2022 to consider the themes from referrals, emerging </w:t>
      </w:r>
      <w:proofErr w:type="gramStart"/>
      <w:r>
        <w:t>issues</w:t>
      </w:r>
      <w:proofErr w:type="gramEnd"/>
      <w:r>
        <w:t xml:space="preserve"> and the </w:t>
      </w:r>
      <w:r w:rsidR="004F6BCE">
        <w:t>c</w:t>
      </w:r>
      <w:r>
        <w:t>hair</w:t>
      </w:r>
      <w:r w:rsidR="004F6BCE">
        <w:t>ing</w:t>
      </w:r>
      <w:r>
        <w:t xml:space="preserve"> arrangement</w:t>
      </w:r>
      <w:r w:rsidR="004F6BCE">
        <w:t>s</w:t>
      </w:r>
      <w:r>
        <w:t>.</w:t>
      </w:r>
    </w:p>
    <w:p w14:paraId="48417DA1" w14:textId="622182DA" w:rsidR="00E220FD" w:rsidRDefault="00E220FD" w:rsidP="00A779D7">
      <w:pPr>
        <w:pStyle w:val="BodyText"/>
        <w:spacing w:before="240" w:after="240"/>
      </w:pPr>
      <w:r>
        <w:t>Statutory agencies are requested to seek feedback from individuals with lived experience</w:t>
      </w:r>
      <w:r w:rsidR="00E83FD3">
        <w:t xml:space="preserve"> of their support. This will help</w:t>
      </w:r>
      <w:r>
        <w:t xml:space="preserve"> to identify outcomes </w:t>
      </w:r>
      <w:r w:rsidR="00E83FD3">
        <w:t>as part of the</w:t>
      </w:r>
      <w:r>
        <w:t xml:space="preserve"> review of the pilot.</w:t>
      </w:r>
    </w:p>
    <w:p w14:paraId="681AA8BC" w14:textId="086E1E95" w:rsidR="00E220FD" w:rsidRDefault="00E220FD" w:rsidP="00E220FD">
      <w:pPr>
        <w:pStyle w:val="BodyText"/>
      </w:pPr>
      <w:r>
        <w:t>The outcome of the pilot will be reported to the SAB.</w:t>
      </w:r>
    </w:p>
    <w:p w14:paraId="0397E4FE" w14:textId="318B945F" w:rsidR="00A779D7" w:rsidRDefault="00A779D7">
      <w:pPr>
        <w:spacing w:line="240" w:lineRule="auto"/>
        <w:ind w:left="0"/>
      </w:pPr>
      <w:r>
        <w:br w:type="page"/>
      </w:r>
    </w:p>
    <w:p w14:paraId="168CF926" w14:textId="0F4476B4" w:rsidR="00E220FD" w:rsidRDefault="00E220FD" w:rsidP="00E220FD">
      <w:pPr>
        <w:pStyle w:val="Heading1"/>
      </w:pPr>
      <w:bookmarkStart w:id="17" w:name="_Toc90565764"/>
      <w:r w:rsidRPr="00E220FD">
        <w:lastRenderedPageBreak/>
        <w:t>How to make a referral</w:t>
      </w:r>
      <w:bookmarkEnd w:id="17"/>
    </w:p>
    <w:p w14:paraId="1A4CCE74" w14:textId="4DB82426" w:rsidR="004F2C68" w:rsidRDefault="00E220FD" w:rsidP="00E220FD">
      <w:pPr>
        <w:pStyle w:val="BodyText"/>
      </w:pPr>
      <w:r w:rsidRPr="00E220FD">
        <w:t xml:space="preserve">Agencies making a referral must not delay intervention </w:t>
      </w:r>
      <w:r w:rsidR="00E83FD3">
        <w:t xml:space="preserve">before </w:t>
      </w:r>
      <w:r w:rsidRPr="00E220FD">
        <w:t>a MARM group meeting.</w:t>
      </w:r>
      <w:r w:rsidR="004F2C68" w:rsidRPr="004F2C68">
        <w:t xml:space="preserve"> </w:t>
      </w:r>
      <w:r w:rsidR="004F2C68">
        <w:t>Respond to any safeguarding concerns before mak</w:t>
      </w:r>
      <w:r w:rsidR="006B656E">
        <w:t>ing a referral to the MARM group u</w:t>
      </w:r>
      <w:r w:rsidR="004F2C68">
        <w:t>s</w:t>
      </w:r>
      <w:r w:rsidR="006B656E">
        <w:t>ing</w:t>
      </w:r>
      <w:r w:rsidR="004F2C68">
        <w:t xml:space="preserve"> </w:t>
      </w:r>
      <w:r w:rsidR="004F2C68" w:rsidRPr="00E220FD">
        <w:t>the</w:t>
      </w:r>
      <w:r w:rsidR="004F2C68">
        <w:t xml:space="preserve"> following guidance:</w:t>
      </w:r>
    </w:p>
    <w:p w14:paraId="794B8E74" w14:textId="77777777" w:rsidR="001105DE" w:rsidRDefault="00344786" w:rsidP="001105DE">
      <w:pPr>
        <w:pStyle w:val="Bullet"/>
      </w:pPr>
      <w:hyperlink w:anchor="_Quick_guide_for" w:history="1">
        <w:r w:rsidR="0007207E" w:rsidRPr="0007207E">
          <w:rPr>
            <w:rStyle w:val="Hyperlink"/>
          </w:rPr>
          <w:t>Quick guide for considering a referral to MARM</w:t>
        </w:r>
      </w:hyperlink>
    </w:p>
    <w:p w14:paraId="68929DE0" w14:textId="3E846CB7" w:rsidR="004F2C68" w:rsidRPr="001105DE" w:rsidRDefault="004F6BCE" w:rsidP="001105DE">
      <w:pPr>
        <w:pStyle w:val="Bullet"/>
        <w:rPr>
          <w:rStyle w:val="Hyperlink"/>
          <w:color w:val="auto"/>
          <w:u w:val="none"/>
        </w:rPr>
      </w:pPr>
      <w:r>
        <w:fldChar w:fldCharType="begin"/>
      </w:r>
      <w:r>
        <w:instrText xml:space="preserve"> HYPERLINK "https://www.eastsussexsab.org.uk/documents/guidance-on-raising-concerns-about-abuse-and-neglect/" </w:instrText>
      </w:r>
      <w:r>
        <w:fldChar w:fldCharType="separate"/>
      </w:r>
      <w:r w:rsidR="004F2C68" w:rsidRPr="004F6BCE">
        <w:rPr>
          <w:rStyle w:val="Hyperlink"/>
        </w:rPr>
        <w:t>Guidance on Raising Concerns about Abuse and Neglect</w:t>
      </w:r>
    </w:p>
    <w:p w14:paraId="6CFEE657" w14:textId="73914D83" w:rsidR="00E220FD" w:rsidRPr="00344786" w:rsidRDefault="004F6BCE" w:rsidP="00A779D7">
      <w:pPr>
        <w:pStyle w:val="Bullet"/>
        <w:spacing w:after="240"/>
        <w:rPr>
          <w:rStyle w:val="Hyperlink"/>
        </w:rPr>
      </w:pPr>
      <w:r>
        <w:fldChar w:fldCharType="end"/>
      </w:r>
      <w:r w:rsidR="00344786">
        <w:fldChar w:fldCharType="begin"/>
      </w:r>
      <w:r w:rsidR="00344786">
        <w:instrText>HYPERLINK "https://www.sussexsafeguardingadults.org/"</w:instrText>
      </w:r>
      <w:r w:rsidR="00344786">
        <w:fldChar w:fldCharType="separate"/>
      </w:r>
      <w:r w:rsidR="004F2C68" w:rsidRPr="00344786">
        <w:rPr>
          <w:rStyle w:val="Hyperlink"/>
        </w:rPr>
        <w:t>Sussex Safeguarding Adults Policy and Procedures</w:t>
      </w:r>
    </w:p>
    <w:p w14:paraId="75B9D525" w14:textId="483585C3" w:rsidR="00D84C05" w:rsidRDefault="00344786" w:rsidP="00D84C05">
      <w:pPr>
        <w:pStyle w:val="BodyText"/>
      </w:pPr>
      <w:r>
        <w:fldChar w:fldCharType="end"/>
      </w:r>
      <w:r w:rsidR="00D84C05">
        <w:t>Referrals to the MARM group do not replace the existing multi-agency functions. Agencies must always consider and utilise those options where appropriate.</w:t>
      </w:r>
    </w:p>
    <w:p w14:paraId="7532D9AF" w14:textId="4F9233D8" w:rsidR="00D84C05" w:rsidRDefault="00D84C05" w:rsidP="00A779D7">
      <w:pPr>
        <w:pStyle w:val="BodyText"/>
        <w:spacing w:before="240" w:after="240"/>
      </w:pPr>
      <w:r>
        <w:t>Any agency can make a referral to the MARM. The referring officer needs to have signed consent from an operational, service, or senior manager to refer to the MARM group.</w:t>
      </w:r>
    </w:p>
    <w:p w14:paraId="2E9CF54F" w14:textId="4DB1E621" w:rsidR="00E220FD" w:rsidRPr="00E220FD" w:rsidRDefault="00E220FD" w:rsidP="00E220FD">
      <w:pPr>
        <w:pStyle w:val="BodyText"/>
      </w:pPr>
      <w:r w:rsidRPr="00E220FD">
        <w:t>A risk assessment needs to be included with each referral</w:t>
      </w:r>
      <w:r w:rsidR="00144C99">
        <w:t>.</w:t>
      </w:r>
      <w:r w:rsidRPr="00E220FD">
        <w:t xml:space="preserve"> The risk assessment should cover the following areas:</w:t>
      </w:r>
    </w:p>
    <w:p w14:paraId="07609AC3" w14:textId="4D0E89FA" w:rsidR="00E220FD" w:rsidRPr="00E220FD" w:rsidRDefault="00E220FD" w:rsidP="00E220FD">
      <w:pPr>
        <w:pStyle w:val="Bullet"/>
      </w:pPr>
      <w:r w:rsidRPr="00E220FD">
        <w:t>Vulnerability factors placing the person at a higher risk of abuse or neglect</w:t>
      </w:r>
    </w:p>
    <w:p w14:paraId="201DE18A" w14:textId="3D38F4A7" w:rsidR="00E220FD" w:rsidRPr="00E220FD" w:rsidRDefault="00E220FD" w:rsidP="00E220FD">
      <w:pPr>
        <w:pStyle w:val="Bullet"/>
      </w:pPr>
      <w:r w:rsidRPr="00E220FD">
        <w:t>Self-neglect factors including hoarding and fire safety</w:t>
      </w:r>
    </w:p>
    <w:p w14:paraId="3562358A" w14:textId="47FC82F6" w:rsidR="00E220FD" w:rsidRPr="00E220FD" w:rsidRDefault="00E220FD" w:rsidP="00E220FD">
      <w:pPr>
        <w:pStyle w:val="Bullet"/>
      </w:pPr>
      <w:r w:rsidRPr="00E220FD">
        <w:t>Refusal or disengagement from care and support services</w:t>
      </w:r>
    </w:p>
    <w:p w14:paraId="13ACB0C6" w14:textId="3CD65EA0" w:rsidR="00E220FD" w:rsidRPr="00E220FD" w:rsidRDefault="00E220FD" w:rsidP="00E220FD">
      <w:pPr>
        <w:pStyle w:val="Bullet"/>
      </w:pPr>
      <w:r w:rsidRPr="00E220FD">
        <w:t xml:space="preserve">Complex or diverse needs which either fall between or </w:t>
      </w:r>
      <w:r w:rsidR="004F2C68">
        <w:t>cover</w:t>
      </w:r>
      <w:r w:rsidR="004F2C68" w:rsidRPr="00E220FD">
        <w:t xml:space="preserve"> </w:t>
      </w:r>
      <w:r w:rsidRPr="00E220FD">
        <w:t xml:space="preserve">a number of agencies’ statutory responsibilities or eligibility </w:t>
      </w:r>
      <w:proofErr w:type="gramStart"/>
      <w:r w:rsidRPr="00E220FD">
        <w:t>criteria</w:t>
      </w:r>
      <w:proofErr w:type="gramEnd"/>
    </w:p>
    <w:p w14:paraId="630653E6" w14:textId="18AB89A1" w:rsidR="00E220FD" w:rsidRPr="00E220FD" w:rsidRDefault="00E220FD" w:rsidP="00E220FD">
      <w:pPr>
        <w:pStyle w:val="Bullet"/>
      </w:pPr>
      <w:r w:rsidRPr="00E220FD">
        <w:t>Ongoing needs or behaviour placing the adult or others at significant risk</w:t>
      </w:r>
    </w:p>
    <w:p w14:paraId="04CD92B3" w14:textId="52559E41" w:rsidR="00E220FD" w:rsidRPr="00E220FD" w:rsidRDefault="00E220FD" w:rsidP="00E220FD">
      <w:pPr>
        <w:pStyle w:val="Bullet"/>
      </w:pPr>
      <w:r w:rsidRPr="00E220FD">
        <w:t>Complex needs and behaviour leading the adult to cause harm to others</w:t>
      </w:r>
    </w:p>
    <w:p w14:paraId="5D817EF8" w14:textId="7C706B74" w:rsidR="00E220FD" w:rsidRPr="00E220FD" w:rsidRDefault="00E220FD" w:rsidP="00E220FD">
      <w:pPr>
        <w:pStyle w:val="Bullet"/>
      </w:pPr>
      <w:r w:rsidRPr="00E220FD">
        <w:t>Domestic violence</w:t>
      </w:r>
      <w:r w:rsidR="0034686D">
        <w:t xml:space="preserve"> and abuse</w:t>
      </w:r>
      <w:r w:rsidRPr="00E220FD">
        <w:t xml:space="preserve">, mental </w:t>
      </w:r>
      <w:r w:rsidR="0034686D">
        <w:t xml:space="preserve">ill </w:t>
      </w:r>
      <w:proofErr w:type="gramStart"/>
      <w:r w:rsidRPr="00E220FD">
        <w:t>health</w:t>
      </w:r>
      <w:proofErr w:type="gramEnd"/>
      <w:r w:rsidRPr="00E220FD">
        <w:t xml:space="preserve"> and substance misuse</w:t>
      </w:r>
    </w:p>
    <w:p w14:paraId="4BF0D4CC" w14:textId="7F15A57D" w:rsidR="00E220FD" w:rsidRPr="00E220FD" w:rsidRDefault="00E220FD" w:rsidP="00E220FD">
      <w:pPr>
        <w:pStyle w:val="Bullet"/>
        <w:spacing w:after="240"/>
      </w:pPr>
      <w:r w:rsidRPr="00E220FD">
        <w:t>Risks previously addressed via multi-agency functions but for which the need for ongoing risk management and monitoring has been identified because the risk had not been reduced.</w:t>
      </w:r>
    </w:p>
    <w:p w14:paraId="1618EBAC" w14:textId="4187B7E9" w:rsidR="00E220FD" w:rsidRDefault="00E220FD" w:rsidP="00423521">
      <w:pPr>
        <w:pStyle w:val="BodyText"/>
      </w:pPr>
      <w:r>
        <w:t>All reasonable attempts should be made to gain consent from the adult for the referral.</w:t>
      </w:r>
      <w:r w:rsidR="0034686D">
        <w:t xml:space="preserve"> </w:t>
      </w:r>
      <w:r>
        <w:t>If the adult is not willing to give consent or refuses to engage and the worker remains concerned for the adult’s safety and or welfare, or the safety or welfare of others, that should be recorded on the referral form.</w:t>
      </w:r>
    </w:p>
    <w:p w14:paraId="37D74BED" w14:textId="77777777" w:rsidR="00FB0F5A" w:rsidRDefault="00FB0F5A" w:rsidP="00E220FD">
      <w:pPr>
        <w:pStyle w:val="BodyText"/>
      </w:pPr>
    </w:p>
    <w:p w14:paraId="64BBAE3B" w14:textId="1A909600" w:rsidR="00E220FD" w:rsidRDefault="00E220FD" w:rsidP="00E220FD">
      <w:pPr>
        <w:pStyle w:val="BodyText"/>
      </w:pPr>
      <w:r>
        <w:t xml:space="preserve">An adult who has mental capacity to </w:t>
      </w:r>
      <w:proofErr w:type="gramStart"/>
      <w:r>
        <w:t>make a decision</w:t>
      </w:r>
      <w:proofErr w:type="gramEnd"/>
      <w:r>
        <w:t xml:space="preserve"> and chooses voluntarily to live with a level of risk, is entitled to do so. Where the level of risk is very high, </w:t>
      </w:r>
      <w:r w:rsidR="006B656E">
        <w:t xml:space="preserve">agencies should </w:t>
      </w:r>
      <w:r>
        <w:t>mak</w:t>
      </w:r>
      <w:r w:rsidR="006B656E">
        <w:t>e</w:t>
      </w:r>
      <w:r>
        <w:t xml:space="preserve"> a referral to the MARM group</w:t>
      </w:r>
      <w:r w:rsidR="006B656E">
        <w:t xml:space="preserve"> and</w:t>
      </w:r>
      <w:r>
        <w:t xml:space="preserve"> consider </w:t>
      </w:r>
      <w:r w:rsidR="006B656E">
        <w:t>if</w:t>
      </w:r>
      <w:r>
        <w:t xml:space="preserve"> the Inherent Jurisdiction of the Court may apply</w:t>
      </w:r>
      <w:r w:rsidR="006B656E">
        <w:t xml:space="preserve">. If so, see the </w:t>
      </w:r>
      <w:hyperlink w:anchor="_Consent_to_share" w:history="1">
        <w:r w:rsidR="006B656E" w:rsidRPr="006B656E">
          <w:rPr>
            <w:rStyle w:val="Hyperlink"/>
          </w:rPr>
          <w:t>consent to share information section</w:t>
        </w:r>
      </w:hyperlink>
      <w:r w:rsidR="006B656E">
        <w:t xml:space="preserve"> </w:t>
      </w:r>
      <w:r>
        <w:t>and seek legal advice.</w:t>
      </w:r>
    </w:p>
    <w:p w14:paraId="25FB987B" w14:textId="062F79E9" w:rsidR="00E220FD" w:rsidRDefault="00E220FD" w:rsidP="00FB0F5A">
      <w:pPr>
        <w:ind w:left="0"/>
      </w:pPr>
      <w:r>
        <w:lastRenderedPageBreak/>
        <w:t xml:space="preserve">To make a referral to the MARM group </w:t>
      </w:r>
      <w:r w:rsidR="001539D0">
        <w:t xml:space="preserve">the </w:t>
      </w:r>
      <w:hyperlink r:id="rId19" w:history="1">
        <w:r w:rsidR="001539D0" w:rsidRPr="005A197E">
          <w:rPr>
            <w:rStyle w:val="Hyperlink"/>
          </w:rPr>
          <w:t>MARM</w:t>
        </w:r>
        <w:r w:rsidRPr="005A197E">
          <w:rPr>
            <w:rStyle w:val="Hyperlink"/>
          </w:rPr>
          <w:t xml:space="preserve"> referral form</w:t>
        </w:r>
      </w:hyperlink>
      <w:r>
        <w:t xml:space="preserve"> must be completed by the referring agency</w:t>
      </w:r>
      <w:r w:rsidR="00575B47">
        <w:t>. Send completed referral forms via email</w:t>
      </w:r>
      <w:r>
        <w:t xml:space="preserve"> with a current risk assessment to</w:t>
      </w:r>
      <w:r w:rsidR="00FB0F5A">
        <w:t xml:space="preserve"> </w:t>
      </w:r>
      <w:hyperlink r:id="rId20" w:history="1">
        <w:r w:rsidR="00FB0F5A">
          <w:rPr>
            <w:rStyle w:val="Hyperlink"/>
          </w:rPr>
          <w:t>MARM@eastsussex.gov.uk</w:t>
        </w:r>
      </w:hyperlink>
      <w:r w:rsidR="00FB0F5A">
        <w:t xml:space="preserve"> </w:t>
      </w:r>
      <w:r>
        <w:t xml:space="preserve">. Referrals will need to be received at least </w:t>
      </w:r>
      <w:r w:rsidR="00FB0F5A">
        <w:t>10</w:t>
      </w:r>
      <w:r>
        <w:t xml:space="preserve"> working days before the group meets.</w:t>
      </w:r>
    </w:p>
    <w:p w14:paraId="0E16ADE5" w14:textId="77777777" w:rsidR="00FB0F5A" w:rsidRDefault="00FB0F5A" w:rsidP="00423521">
      <w:pPr>
        <w:ind w:left="0"/>
      </w:pPr>
    </w:p>
    <w:p w14:paraId="0C306029" w14:textId="4B3AF389" w:rsidR="00E220FD" w:rsidRDefault="00E220FD" w:rsidP="00E220FD">
      <w:pPr>
        <w:pStyle w:val="BodyText"/>
      </w:pPr>
      <w:r>
        <w:t>The referring agency will be expected to attend the meeting to present their referral and contribute to the case discussion.</w:t>
      </w:r>
    </w:p>
    <w:p w14:paraId="23D988F7" w14:textId="4788F9F9" w:rsidR="00E220FD" w:rsidRDefault="00E220FD" w:rsidP="00A779D7">
      <w:pPr>
        <w:pStyle w:val="Heading1"/>
        <w:spacing w:before="240"/>
      </w:pPr>
      <w:bookmarkStart w:id="18" w:name="_Quick_guide_for"/>
      <w:bookmarkStart w:id="19" w:name="_Toc90565765"/>
      <w:bookmarkEnd w:id="18"/>
      <w:r w:rsidRPr="00E220FD">
        <w:t xml:space="preserve">Quick guide for considering </w:t>
      </w:r>
      <w:r w:rsidR="0007207E">
        <w:t xml:space="preserve">a </w:t>
      </w:r>
      <w:r w:rsidRPr="00E220FD">
        <w:t>referral to</w:t>
      </w:r>
      <w:r w:rsidR="0007207E">
        <w:t xml:space="preserve"> </w:t>
      </w:r>
      <w:r w:rsidRPr="00E220FD">
        <w:t>MARM</w:t>
      </w:r>
      <w:bookmarkEnd w:id="19"/>
    </w:p>
    <w:p w14:paraId="68985DC9" w14:textId="7DBD717F" w:rsidR="00E220FD" w:rsidRDefault="0067014F" w:rsidP="00E220FD">
      <w:pPr>
        <w:pStyle w:val="BodyText"/>
      </w:pPr>
      <w:r>
        <w:t>Before</w:t>
      </w:r>
      <w:r w:rsidR="00E220FD" w:rsidRPr="00E220FD">
        <w:t xml:space="preserve"> considering a referral to </w:t>
      </w:r>
      <w:r w:rsidR="0007207E">
        <w:t xml:space="preserve">the </w:t>
      </w:r>
      <w:r w:rsidR="00E220FD" w:rsidRPr="00E220FD">
        <w:t>MARM</w:t>
      </w:r>
      <w:r w:rsidR="0007207E">
        <w:t xml:space="preserve"> group</w:t>
      </w:r>
      <w:r w:rsidR="00E220FD" w:rsidRPr="00E220FD">
        <w:t>:</w:t>
      </w:r>
    </w:p>
    <w:p w14:paraId="48A8495E" w14:textId="1BBB807E" w:rsidR="00E220FD" w:rsidRPr="00E220FD" w:rsidRDefault="00E220FD" w:rsidP="00E220FD">
      <w:pPr>
        <w:pStyle w:val="Bullet"/>
      </w:pPr>
      <w:r w:rsidRPr="00E220FD">
        <w:t xml:space="preserve">Ensure there is a risk assessment in place </w:t>
      </w:r>
      <w:r w:rsidR="0067014F">
        <w:t xml:space="preserve">that </w:t>
      </w:r>
      <w:r w:rsidR="0067014F" w:rsidRPr="00E220FD">
        <w:t>identif</w:t>
      </w:r>
      <w:r w:rsidR="0067014F">
        <w:t>ies</w:t>
      </w:r>
      <w:r w:rsidR="0067014F" w:rsidRPr="00E220FD">
        <w:t xml:space="preserve"> </w:t>
      </w:r>
      <w:r w:rsidRPr="00E220FD">
        <w:t xml:space="preserve">all </w:t>
      </w:r>
      <w:r w:rsidR="0067014F">
        <w:t xml:space="preserve">the </w:t>
      </w:r>
      <w:r w:rsidRPr="00E220FD">
        <w:t>risks and attempts to mitigate these.</w:t>
      </w:r>
    </w:p>
    <w:p w14:paraId="34C0DC7B" w14:textId="0BC52020" w:rsidR="00E220FD" w:rsidRPr="00E220FD" w:rsidRDefault="00E220FD" w:rsidP="00E220FD">
      <w:pPr>
        <w:pStyle w:val="Bullet"/>
      </w:pPr>
      <w:r w:rsidRPr="00E220FD">
        <w:t xml:space="preserve">If a single agency response has not mitigated risk (which could include recommendation from a single agency complex case risk panel), consider if a multi-agency response is necessary and proportionate. If so, </w:t>
      </w:r>
      <w:r w:rsidR="0067014F">
        <w:t>organise</w:t>
      </w:r>
      <w:r w:rsidRPr="00E220FD">
        <w:t xml:space="preserve"> a planning</w:t>
      </w:r>
      <w:r w:rsidR="0067014F">
        <w:t xml:space="preserve">, </w:t>
      </w:r>
      <w:r w:rsidRPr="00E220FD">
        <w:t>professional</w:t>
      </w:r>
      <w:r w:rsidR="0067014F">
        <w:t>,</w:t>
      </w:r>
      <w:r w:rsidRPr="00E220FD">
        <w:t xml:space="preserve"> risk management meeting. Agree an action plan to reduce the level of risk to the adult and keep </w:t>
      </w:r>
      <w:r w:rsidR="0067014F">
        <w:t xml:space="preserve">it </w:t>
      </w:r>
      <w:r w:rsidRPr="00E220FD">
        <w:t>under review.</w:t>
      </w:r>
    </w:p>
    <w:p w14:paraId="65D71E0B" w14:textId="77777777" w:rsidR="00E220FD" w:rsidRPr="00E220FD" w:rsidRDefault="00E220FD" w:rsidP="00E220FD">
      <w:pPr>
        <w:pStyle w:val="Bullet"/>
        <w:spacing w:after="240"/>
      </w:pPr>
      <w:r w:rsidRPr="00E220FD">
        <w:t>If all avenues of risk management have been explored within the agency and on a multi-agency basis, and the risk remains high, consider referral to the MARM.</w:t>
      </w:r>
    </w:p>
    <w:p w14:paraId="6D685BD4" w14:textId="77777777" w:rsidR="00FB0F5A" w:rsidRDefault="00E220FD" w:rsidP="00423521">
      <w:pPr>
        <w:ind w:left="0"/>
        <w:rPr>
          <w:rFonts w:cs="Calibri"/>
          <w:sz w:val="22"/>
          <w:szCs w:val="22"/>
        </w:rPr>
      </w:pPr>
      <w:r w:rsidRPr="00E220FD">
        <w:t xml:space="preserve">When referring to the MARM, complete the referral form and send </w:t>
      </w:r>
      <w:r w:rsidR="0067014F">
        <w:t xml:space="preserve">it </w:t>
      </w:r>
      <w:r w:rsidRPr="00E220FD">
        <w:t>with your agency’s current risk assessment to</w:t>
      </w:r>
      <w:r w:rsidR="00FB0F5A">
        <w:t xml:space="preserve"> </w:t>
      </w:r>
      <w:hyperlink r:id="rId21" w:history="1">
        <w:r w:rsidR="00FB0F5A">
          <w:rPr>
            <w:rStyle w:val="Hyperlink"/>
          </w:rPr>
          <w:t>MARM@eastsussex.gov.uk</w:t>
        </w:r>
      </w:hyperlink>
      <w:r w:rsidR="00FB0F5A">
        <w:t xml:space="preserve"> </w:t>
      </w:r>
    </w:p>
    <w:p w14:paraId="18D2E97F" w14:textId="47A5FEA4" w:rsidR="000D5B0F" w:rsidRPr="00423521" w:rsidRDefault="000D5B0F" w:rsidP="001539D0">
      <w:pPr>
        <w:pStyle w:val="BodyText"/>
      </w:pPr>
      <w:bookmarkStart w:id="20" w:name="_Appendix_A:_Multi"/>
      <w:bookmarkEnd w:id="20"/>
    </w:p>
    <w:sectPr w:rsidR="000D5B0F" w:rsidRPr="00423521" w:rsidSect="00A779D7">
      <w:footerReference w:type="default" r:id="rId22"/>
      <w:pgSz w:w="11906" w:h="16838" w:code="9"/>
      <w:pgMar w:top="1134" w:right="1418" w:bottom="1134"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4512" w14:textId="77777777" w:rsidR="0038548C" w:rsidRDefault="0038548C" w:rsidP="00BA1869">
      <w:r>
        <w:separator/>
      </w:r>
    </w:p>
  </w:endnote>
  <w:endnote w:type="continuationSeparator" w:id="0">
    <w:p w14:paraId="72C47399" w14:textId="77777777" w:rsidR="0038548C" w:rsidRDefault="0038548C" w:rsidP="00BA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60EF" w14:textId="381716C9" w:rsidR="0038548C" w:rsidRPr="00707EB7" w:rsidRDefault="0038548C" w:rsidP="00707EB7">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B536" w14:textId="77777777" w:rsidR="0038548C" w:rsidRPr="00707EB7" w:rsidRDefault="0038548C" w:rsidP="00707EB7">
    <w:pPr>
      <w:pBdr>
        <w:top w:val="single" w:sz="8" w:space="1" w:color="auto"/>
      </w:pBdr>
      <w:ind w:left="0"/>
      <w:rPr>
        <w:sz w:val="4"/>
        <w:szCs w:val="4"/>
        <w:lang w:eastAsia="en-GB"/>
      </w:rPr>
    </w:pPr>
  </w:p>
  <w:p w14:paraId="2C740F4B" w14:textId="571BAC89" w:rsidR="0038548C" w:rsidRDefault="0038548C" w:rsidP="00707EB7">
    <w:pPr>
      <w:ind w:left="0"/>
      <w:rPr>
        <w:b/>
        <w:bCs/>
        <w:sz w:val="22"/>
        <w:szCs w:val="22"/>
        <w:lang w:eastAsia="en-GB"/>
      </w:rPr>
    </w:pPr>
    <w:bookmarkStart w:id="0" w:name="_Hlk88220944"/>
    <w:r w:rsidRPr="00707EB7">
      <w:rPr>
        <w:b/>
        <w:bCs/>
        <w:sz w:val="22"/>
        <w:szCs w:val="22"/>
        <w:lang w:eastAsia="en-GB"/>
      </w:rPr>
      <w:t>Multi</w:t>
    </w:r>
    <w:r>
      <w:rPr>
        <w:b/>
        <w:bCs/>
        <w:sz w:val="22"/>
        <w:szCs w:val="22"/>
        <w:lang w:eastAsia="en-GB"/>
      </w:rPr>
      <w:t>-</w:t>
    </w:r>
    <w:r w:rsidRPr="00707EB7">
      <w:rPr>
        <w:b/>
        <w:bCs/>
        <w:sz w:val="22"/>
        <w:szCs w:val="22"/>
        <w:lang w:eastAsia="en-GB"/>
      </w:rPr>
      <w:t>Agency Risk Management (MARM) Protocol</w:t>
    </w:r>
  </w:p>
  <w:bookmarkEnd w:id="0"/>
  <w:p w14:paraId="536E5B4C" w14:textId="0B6D0B84" w:rsidR="0038548C" w:rsidRPr="00707EB7" w:rsidRDefault="0038548C" w:rsidP="00707EB7">
    <w:pPr>
      <w:ind w:left="0"/>
      <w:rPr>
        <w:sz w:val="22"/>
        <w:szCs w:val="22"/>
        <w:lang w:eastAsia="en-GB"/>
      </w:rPr>
    </w:pPr>
    <w:r w:rsidRPr="00707EB7">
      <w:rPr>
        <w:sz w:val="22"/>
        <w:szCs w:val="22"/>
        <w:lang w:eastAsia="en-GB"/>
      </w:rPr>
      <w:t>V</w:t>
    </w:r>
    <w:r>
      <w:rPr>
        <w:sz w:val="22"/>
        <w:szCs w:val="22"/>
        <w:lang w:eastAsia="en-GB"/>
      </w:rPr>
      <w:t>1</w:t>
    </w:r>
    <w:r w:rsidRPr="00707EB7">
      <w:rPr>
        <w:sz w:val="22"/>
        <w:szCs w:val="22"/>
        <w:lang w:eastAsia="en-GB"/>
      </w:rPr>
      <w:t xml:space="preserve"> – </w:t>
    </w:r>
    <w:r w:rsidR="009513C6">
      <w:rPr>
        <w:sz w:val="22"/>
        <w:szCs w:val="22"/>
        <w:lang w:eastAsia="en-GB"/>
      </w:rPr>
      <w:t>December</w:t>
    </w:r>
    <w:r w:rsidR="009513C6" w:rsidRPr="00707EB7">
      <w:rPr>
        <w:sz w:val="22"/>
        <w:szCs w:val="22"/>
        <w:lang w:eastAsia="en-GB"/>
      </w:rPr>
      <w:t xml:space="preserve"> </w:t>
    </w:r>
    <w:r w:rsidRPr="00707EB7">
      <w:rPr>
        <w:sz w:val="22"/>
        <w:szCs w:val="22"/>
        <w:lang w:eastAsia="en-GB"/>
      </w:rPr>
      <w:t xml:space="preserve">2021 (date printed: </w:t>
    </w:r>
    <w:r w:rsidRPr="00707EB7">
      <w:rPr>
        <w:sz w:val="22"/>
        <w:szCs w:val="22"/>
        <w:lang w:eastAsia="en-GB"/>
      </w:rPr>
      <w:fldChar w:fldCharType="begin"/>
    </w:r>
    <w:r w:rsidRPr="00707EB7">
      <w:rPr>
        <w:sz w:val="22"/>
        <w:szCs w:val="22"/>
        <w:lang w:eastAsia="en-GB"/>
      </w:rPr>
      <w:instrText xml:space="preserve"> DATE \@ "dd MMMM yyyy" </w:instrText>
    </w:r>
    <w:r w:rsidRPr="00707EB7">
      <w:rPr>
        <w:sz w:val="22"/>
        <w:szCs w:val="22"/>
        <w:lang w:eastAsia="en-GB"/>
      </w:rPr>
      <w:fldChar w:fldCharType="separate"/>
    </w:r>
    <w:r w:rsidR="00344786">
      <w:rPr>
        <w:noProof/>
        <w:sz w:val="22"/>
        <w:szCs w:val="22"/>
        <w:lang w:eastAsia="en-GB"/>
      </w:rPr>
      <w:t>29 May 2024</w:t>
    </w:r>
    <w:r w:rsidRPr="00707EB7">
      <w:rPr>
        <w:sz w:val="22"/>
        <w:szCs w:val="22"/>
        <w:lang w:eastAsia="en-GB"/>
      </w:rPr>
      <w:fldChar w:fldCharType="end"/>
    </w:r>
    <w:r w:rsidRPr="00707EB7">
      <w:rPr>
        <w:sz w:val="22"/>
        <w:szCs w:val="22"/>
        <w:lang w:eastAsia="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4062" w14:textId="77777777" w:rsidR="0038548C" w:rsidRPr="00E220FD" w:rsidRDefault="0038548C" w:rsidP="00E220FD">
    <w:pPr>
      <w:pBdr>
        <w:top w:val="single" w:sz="8" w:space="1" w:color="auto"/>
      </w:pBdr>
      <w:ind w:left="0"/>
      <w:rPr>
        <w:sz w:val="4"/>
        <w:szCs w:val="4"/>
        <w:lang w:eastAsia="en-GB"/>
      </w:rPr>
    </w:pPr>
  </w:p>
  <w:p w14:paraId="41B9E22B" w14:textId="0B174210" w:rsidR="0038548C" w:rsidRPr="00E220FD" w:rsidRDefault="0038548C" w:rsidP="00E220FD">
    <w:pPr>
      <w:tabs>
        <w:tab w:val="right" w:pos="9639"/>
      </w:tabs>
      <w:ind w:left="0"/>
      <w:rPr>
        <w:b/>
        <w:bCs/>
        <w:sz w:val="22"/>
        <w:szCs w:val="22"/>
        <w:lang w:eastAsia="en-GB"/>
      </w:rPr>
    </w:pPr>
    <w:r w:rsidRPr="00E220FD">
      <w:rPr>
        <w:b/>
        <w:bCs/>
        <w:sz w:val="22"/>
        <w:szCs w:val="22"/>
        <w:lang w:eastAsia="en-GB"/>
      </w:rPr>
      <w:t>Multi</w:t>
    </w:r>
    <w:r>
      <w:rPr>
        <w:b/>
        <w:bCs/>
        <w:sz w:val="22"/>
        <w:szCs w:val="22"/>
        <w:lang w:eastAsia="en-GB"/>
      </w:rPr>
      <w:t>-</w:t>
    </w:r>
    <w:r w:rsidRPr="00E220FD">
      <w:rPr>
        <w:b/>
        <w:bCs/>
        <w:sz w:val="22"/>
        <w:szCs w:val="22"/>
        <w:lang w:eastAsia="en-GB"/>
      </w:rPr>
      <w:t>Agency Risk Management (MARM) Protocol</w:t>
    </w:r>
    <w:r w:rsidRPr="00E220FD">
      <w:rPr>
        <w:b/>
        <w:bCs/>
        <w:sz w:val="22"/>
        <w:szCs w:val="22"/>
        <w:lang w:eastAsia="en-GB"/>
      </w:rPr>
      <w:tab/>
      <w:t xml:space="preserve">Page </w:t>
    </w:r>
    <w:r w:rsidRPr="00E220FD">
      <w:rPr>
        <w:b/>
        <w:bCs/>
        <w:sz w:val="22"/>
        <w:szCs w:val="22"/>
        <w:lang w:eastAsia="en-GB"/>
      </w:rPr>
      <w:fldChar w:fldCharType="begin"/>
    </w:r>
    <w:r w:rsidRPr="00E220FD">
      <w:rPr>
        <w:b/>
        <w:bCs/>
        <w:sz w:val="22"/>
        <w:szCs w:val="22"/>
        <w:lang w:eastAsia="en-GB"/>
      </w:rPr>
      <w:instrText xml:space="preserve"> PAGE  \* Arabic  \* MERGEFORMAT </w:instrText>
    </w:r>
    <w:r w:rsidRPr="00E220FD">
      <w:rPr>
        <w:b/>
        <w:bCs/>
        <w:sz w:val="22"/>
        <w:szCs w:val="22"/>
        <w:lang w:eastAsia="en-GB"/>
      </w:rPr>
      <w:fldChar w:fldCharType="separate"/>
    </w:r>
    <w:r w:rsidRPr="00E220FD">
      <w:rPr>
        <w:b/>
        <w:bCs/>
        <w:lang w:eastAsia="en-GB"/>
      </w:rPr>
      <w:t>1</w:t>
    </w:r>
    <w:r w:rsidRPr="00E220FD">
      <w:rPr>
        <w:b/>
        <w:bCs/>
        <w:sz w:val="22"/>
        <w:szCs w:val="22"/>
        <w:lang w:eastAsia="en-GB"/>
      </w:rPr>
      <w:fldChar w:fldCharType="end"/>
    </w:r>
    <w:r w:rsidRPr="00E220FD">
      <w:rPr>
        <w:b/>
        <w:bCs/>
        <w:sz w:val="22"/>
        <w:szCs w:val="22"/>
        <w:lang w:eastAsia="en-GB"/>
      </w:rPr>
      <w:t xml:space="preserve"> of </w:t>
    </w:r>
    <w:r w:rsidR="00975B1A">
      <w:rPr>
        <w:b/>
        <w:bCs/>
        <w:sz w:val="22"/>
        <w:szCs w:val="22"/>
        <w:lang w:eastAsia="en-GB"/>
      </w:rPr>
      <w:t>9</w:t>
    </w:r>
  </w:p>
  <w:p w14:paraId="0CC9438C" w14:textId="1383497E" w:rsidR="0038548C" w:rsidRPr="00E220FD" w:rsidRDefault="0038548C" w:rsidP="00E220FD">
    <w:pPr>
      <w:ind w:left="0"/>
      <w:rPr>
        <w:sz w:val="22"/>
        <w:szCs w:val="22"/>
        <w:lang w:eastAsia="en-GB"/>
      </w:rPr>
    </w:pPr>
    <w:r w:rsidRPr="00E220FD">
      <w:rPr>
        <w:sz w:val="22"/>
        <w:szCs w:val="22"/>
        <w:lang w:eastAsia="en-GB"/>
      </w:rPr>
      <w:t>V</w:t>
    </w:r>
    <w:r>
      <w:rPr>
        <w:sz w:val="22"/>
        <w:szCs w:val="22"/>
        <w:lang w:eastAsia="en-GB"/>
      </w:rPr>
      <w:t>1</w:t>
    </w:r>
    <w:r w:rsidRPr="00E220FD">
      <w:rPr>
        <w:sz w:val="22"/>
        <w:szCs w:val="22"/>
        <w:lang w:eastAsia="en-GB"/>
      </w:rPr>
      <w:t xml:space="preserve"> – </w:t>
    </w:r>
    <w:r w:rsidR="002101DD">
      <w:rPr>
        <w:sz w:val="22"/>
        <w:szCs w:val="22"/>
        <w:lang w:eastAsia="en-GB"/>
      </w:rPr>
      <w:t>December</w:t>
    </w:r>
    <w:r w:rsidR="002101DD" w:rsidRPr="00E220FD">
      <w:rPr>
        <w:sz w:val="22"/>
        <w:szCs w:val="22"/>
        <w:lang w:eastAsia="en-GB"/>
      </w:rPr>
      <w:t xml:space="preserve"> </w:t>
    </w:r>
    <w:r w:rsidRPr="00E220FD">
      <w:rPr>
        <w:sz w:val="22"/>
        <w:szCs w:val="22"/>
        <w:lang w:eastAsia="en-GB"/>
      </w:rPr>
      <w:t xml:space="preserve">2021 (date printed: </w:t>
    </w:r>
    <w:r w:rsidRPr="00E220FD">
      <w:rPr>
        <w:sz w:val="22"/>
        <w:szCs w:val="22"/>
        <w:lang w:eastAsia="en-GB"/>
      </w:rPr>
      <w:fldChar w:fldCharType="begin"/>
    </w:r>
    <w:r w:rsidRPr="00E220FD">
      <w:rPr>
        <w:sz w:val="22"/>
        <w:szCs w:val="22"/>
        <w:lang w:eastAsia="en-GB"/>
      </w:rPr>
      <w:instrText xml:space="preserve"> DATE \@ "dd MMMM yyyy" </w:instrText>
    </w:r>
    <w:r w:rsidRPr="00E220FD">
      <w:rPr>
        <w:sz w:val="22"/>
        <w:szCs w:val="22"/>
        <w:lang w:eastAsia="en-GB"/>
      </w:rPr>
      <w:fldChar w:fldCharType="separate"/>
    </w:r>
    <w:r w:rsidR="00344786">
      <w:rPr>
        <w:noProof/>
        <w:sz w:val="22"/>
        <w:szCs w:val="22"/>
        <w:lang w:eastAsia="en-GB"/>
      </w:rPr>
      <w:t>29 May 2024</w:t>
    </w:r>
    <w:r w:rsidRPr="00E220FD">
      <w:rPr>
        <w:sz w:val="22"/>
        <w:szCs w:val="22"/>
        <w:lang w:eastAsia="en-GB"/>
      </w:rPr>
      <w:fldChar w:fldCharType="end"/>
    </w:r>
    <w:r w:rsidRPr="00E220FD">
      <w:rPr>
        <w:sz w:val="22"/>
        <w:szCs w:val="22"/>
        <w:lang w:eastAsia="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6FFF" w14:textId="77777777" w:rsidR="0038548C" w:rsidRDefault="0038548C" w:rsidP="00BA1869">
      <w:r>
        <w:separator/>
      </w:r>
    </w:p>
  </w:footnote>
  <w:footnote w:type="continuationSeparator" w:id="0">
    <w:p w14:paraId="1C7BF60A" w14:textId="77777777" w:rsidR="0038548C" w:rsidRDefault="0038548C" w:rsidP="00BA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E58"/>
    <w:multiLevelType w:val="multilevel"/>
    <w:tmpl w:val="470ADE28"/>
    <w:lvl w:ilvl="0">
      <w:start w:val="2"/>
      <w:numFmt w:val="decimal"/>
      <w:lvlText w:val="%1.0"/>
      <w:lvlJc w:val="left"/>
      <w:pPr>
        <w:ind w:left="360" w:hanging="360"/>
      </w:pPr>
      <w:rPr>
        <w:rFonts w:hint="default"/>
        <w:b/>
      </w:rPr>
    </w:lvl>
    <w:lvl w:ilvl="1">
      <w:start w:val="1"/>
      <w:numFmt w:val="bullet"/>
      <w:lvlText w:val=""/>
      <w:lvlJc w:val="left"/>
      <w:pPr>
        <w:ind w:left="644" w:hanging="360"/>
      </w:pPr>
      <w:rPr>
        <w:rFonts w:ascii="Symbol" w:hAnsi="Symbol"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1AC81472"/>
    <w:multiLevelType w:val="multilevel"/>
    <w:tmpl w:val="39166760"/>
    <w:lvl w:ilvl="0">
      <w:start w:val="1"/>
      <w:numFmt w:val="bullet"/>
      <w:lvlText w:val=""/>
      <w:lvlJc w:val="left"/>
      <w:pPr>
        <w:ind w:left="400" w:hanging="400"/>
      </w:pPr>
      <w:rPr>
        <w:rFonts w:ascii="Symbol" w:hAnsi="Symbol"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5144FC"/>
    <w:multiLevelType w:val="hybridMultilevel"/>
    <w:tmpl w:val="8010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C506E"/>
    <w:multiLevelType w:val="hybridMultilevel"/>
    <w:tmpl w:val="9F8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24488"/>
    <w:multiLevelType w:val="hybridMultilevel"/>
    <w:tmpl w:val="8308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AC4C33"/>
    <w:multiLevelType w:val="hybridMultilevel"/>
    <w:tmpl w:val="DBAE36A8"/>
    <w:lvl w:ilvl="0" w:tplc="C598DFBC">
      <w:numFmt w:val="bullet"/>
      <w:lvlText w:val="-"/>
      <w:lvlJc w:val="left"/>
      <w:pPr>
        <w:ind w:left="1139" w:hanging="360"/>
      </w:pPr>
      <w:rPr>
        <w:rFonts w:ascii="Arial" w:eastAsia="Calibri" w:hAnsi="Arial" w:cs="Aria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6" w15:restartNumberingAfterBreak="0">
    <w:nsid w:val="459B13EF"/>
    <w:multiLevelType w:val="hybridMultilevel"/>
    <w:tmpl w:val="D8EEB0B6"/>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A3BA0"/>
    <w:multiLevelType w:val="hybridMultilevel"/>
    <w:tmpl w:val="3B8493CE"/>
    <w:lvl w:ilvl="0" w:tplc="08090001">
      <w:start w:val="1"/>
      <w:numFmt w:val="bullet"/>
      <w:lvlText w:val=""/>
      <w:lvlJc w:val="left"/>
      <w:pPr>
        <w:ind w:left="1706"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E403D17"/>
    <w:multiLevelType w:val="multilevel"/>
    <w:tmpl w:val="B7D87528"/>
    <w:lvl w:ilvl="0">
      <w:start w:val="1"/>
      <w:numFmt w:val="bullet"/>
      <w:lvlText w:val=""/>
      <w:lvlJc w:val="left"/>
      <w:pPr>
        <w:ind w:left="360" w:hanging="360"/>
      </w:pPr>
      <w:rPr>
        <w:rFonts w:ascii="Symbol" w:hAnsi="Symbol" w:hint="default"/>
        <w:b/>
      </w:rPr>
    </w:lvl>
    <w:lvl w:ilvl="1">
      <w:start w:val="1"/>
      <w:numFmt w:val="bullet"/>
      <w:lvlText w:val=""/>
      <w:lvlJc w:val="left"/>
      <w:pPr>
        <w:ind w:left="644" w:hanging="360"/>
      </w:pPr>
      <w:rPr>
        <w:rFonts w:ascii="Symbol" w:hAnsi="Symbol"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50B03226"/>
    <w:multiLevelType w:val="hybridMultilevel"/>
    <w:tmpl w:val="DD464A90"/>
    <w:lvl w:ilvl="0" w:tplc="4DFC17AC">
      <w:start w:val="1"/>
      <w:numFmt w:val="bullet"/>
      <w:lvlText w:val="­"/>
      <w:lvlJc w:val="left"/>
      <w:pPr>
        <w:ind w:left="2291" w:hanging="360"/>
      </w:pPr>
      <w:rPr>
        <w:rFonts w:ascii="Courier New" w:hAnsi="Courier New" w:hint="default"/>
      </w:rPr>
    </w:lvl>
    <w:lvl w:ilvl="1" w:tplc="D21E6DBC">
      <w:start w:val="1"/>
      <w:numFmt w:val="bullet"/>
      <w:pStyle w:val="Bullet-2"/>
      <w:lvlText w:val="­"/>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6ACE334E"/>
    <w:multiLevelType w:val="hybridMultilevel"/>
    <w:tmpl w:val="A2A0761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1" w15:restartNumberingAfterBreak="0">
    <w:nsid w:val="6E95101C"/>
    <w:multiLevelType w:val="multilevel"/>
    <w:tmpl w:val="1BA869D8"/>
    <w:lvl w:ilvl="0">
      <w:start w:val="1"/>
      <w:numFmt w:val="bullet"/>
      <w:lvlText w:val="­"/>
      <w:lvlJc w:val="left"/>
      <w:pPr>
        <w:ind w:left="2291" w:hanging="360"/>
      </w:pPr>
      <w:rPr>
        <w:rFonts w:ascii="Courier New" w:hAnsi="Courier New"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75B4520E"/>
    <w:multiLevelType w:val="hybridMultilevel"/>
    <w:tmpl w:val="5D62CED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93161FFC">
      <w:start w:val="1"/>
      <w:numFmt w:val="bullet"/>
      <w:pStyle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9F5BD6"/>
    <w:multiLevelType w:val="hybridMultilevel"/>
    <w:tmpl w:val="57A49B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CC02A02"/>
    <w:multiLevelType w:val="hybridMultilevel"/>
    <w:tmpl w:val="B820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486851">
    <w:abstractNumId w:val="12"/>
  </w:num>
  <w:num w:numId="2" w16cid:durableId="1144544955">
    <w:abstractNumId w:val="9"/>
  </w:num>
  <w:num w:numId="3" w16cid:durableId="67504688">
    <w:abstractNumId w:val="11"/>
  </w:num>
  <w:num w:numId="4" w16cid:durableId="1805197424">
    <w:abstractNumId w:val="12"/>
  </w:num>
  <w:num w:numId="5" w16cid:durableId="661201291">
    <w:abstractNumId w:val="9"/>
  </w:num>
  <w:num w:numId="6" w16cid:durableId="1915895585">
    <w:abstractNumId w:val="5"/>
  </w:num>
  <w:num w:numId="7" w16cid:durableId="1636643679">
    <w:abstractNumId w:val="6"/>
  </w:num>
  <w:num w:numId="8" w16cid:durableId="1191643777">
    <w:abstractNumId w:val="2"/>
  </w:num>
  <w:num w:numId="9" w16cid:durableId="1596208860">
    <w:abstractNumId w:val="3"/>
  </w:num>
  <w:num w:numId="10" w16cid:durableId="1132287136">
    <w:abstractNumId w:val="10"/>
  </w:num>
  <w:num w:numId="11" w16cid:durableId="58327514">
    <w:abstractNumId w:val="0"/>
  </w:num>
  <w:num w:numId="12" w16cid:durableId="1724787977">
    <w:abstractNumId w:val="1"/>
  </w:num>
  <w:num w:numId="13" w16cid:durableId="1966496599">
    <w:abstractNumId w:val="7"/>
  </w:num>
  <w:num w:numId="14" w16cid:durableId="969045918">
    <w:abstractNumId w:val="8"/>
  </w:num>
  <w:num w:numId="15" w16cid:durableId="1336571642">
    <w:abstractNumId w:val="14"/>
  </w:num>
  <w:num w:numId="16" w16cid:durableId="145165656">
    <w:abstractNumId w:val="13"/>
  </w:num>
  <w:num w:numId="17" w16cid:durableId="14929146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A4"/>
    <w:rsid w:val="00003AF7"/>
    <w:rsid w:val="000164A4"/>
    <w:rsid w:val="00036BC0"/>
    <w:rsid w:val="0007207E"/>
    <w:rsid w:val="00084A9D"/>
    <w:rsid w:val="00094D79"/>
    <w:rsid w:val="000D1412"/>
    <w:rsid w:val="000D5B0F"/>
    <w:rsid w:val="000E03EE"/>
    <w:rsid w:val="000E4C6F"/>
    <w:rsid w:val="00100207"/>
    <w:rsid w:val="001105DE"/>
    <w:rsid w:val="00126A5C"/>
    <w:rsid w:val="00144C99"/>
    <w:rsid w:val="001539D0"/>
    <w:rsid w:val="00157568"/>
    <w:rsid w:val="00157586"/>
    <w:rsid w:val="00171069"/>
    <w:rsid w:val="00184F7F"/>
    <w:rsid w:val="001B48F7"/>
    <w:rsid w:val="001D21DE"/>
    <w:rsid w:val="00203133"/>
    <w:rsid w:val="002101DD"/>
    <w:rsid w:val="002122D6"/>
    <w:rsid w:val="00226537"/>
    <w:rsid w:val="002412CA"/>
    <w:rsid w:val="00250645"/>
    <w:rsid w:val="002544C6"/>
    <w:rsid w:val="002B587B"/>
    <w:rsid w:val="002C5456"/>
    <w:rsid w:val="002C6C73"/>
    <w:rsid w:val="00317DF7"/>
    <w:rsid w:val="003278B3"/>
    <w:rsid w:val="003402F7"/>
    <w:rsid w:val="00344786"/>
    <w:rsid w:val="0034686D"/>
    <w:rsid w:val="00365C0C"/>
    <w:rsid w:val="00367F8D"/>
    <w:rsid w:val="0038548C"/>
    <w:rsid w:val="003E264C"/>
    <w:rsid w:val="004043F3"/>
    <w:rsid w:val="0041468B"/>
    <w:rsid w:val="00423521"/>
    <w:rsid w:val="004308B6"/>
    <w:rsid w:val="00430A76"/>
    <w:rsid w:val="00441AE0"/>
    <w:rsid w:val="00474F05"/>
    <w:rsid w:val="00493A8D"/>
    <w:rsid w:val="004A5697"/>
    <w:rsid w:val="004B41F1"/>
    <w:rsid w:val="004C5E0D"/>
    <w:rsid w:val="004D58CD"/>
    <w:rsid w:val="004D7B71"/>
    <w:rsid w:val="004E2E7F"/>
    <w:rsid w:val="004F0049"/>
    <w:rsid w:val="004F2C68"/>
    <w:rsid w:val="004F6397"/>
    <w:rsid w:val="004F6BCE"/>
    <w:rsid w:val="00502531"/>
    <w:rsid w:val="005049BC"/>
    <w:rsid w:val="005124AB"/>
    <w:rsid w:val="00515F13"/>
    <w:rsid w:val="00530D2A"/>
    <w:rsid w:val="0054405C"/>
    <w:rsid w:val="00575B47"/>
    <w:rsid w:val="00575D70"/>
    <w:rsid w:val="00581507"/>
    <w:rsid w:val="005871DB"/>
    <w:rsid w:val="005A197E"/>
    <w:rsid w:val="005A2A2F"/>
    <w:rsid w:val="005B3E45"/>
    <w:rsid w:val="005B5202"/>
    <w:rsid w:val="005E0D40"/>
    <w:rsid w:val="005E2318"/>
    <w:rsid w:val="005E70D4"/>
    <w:rsid w:val="00600D3A"/>
    <w:rsid w:val="006114E8"/>
    <w:rsid w:val="00613C79"/>
    <w:rsid w:val="006379AA"/>
    <w:rsid w:val="0064100C"/>
    <w:rsid w:val="00653910"/>
    <w:rsid w:val="0067014F"/>
    <w:rsid w:val="00671F73"/>
    <w:rsid w:val="00672FE2"/>
    <w:rsid w:val="00692A74"/>
    <w:rsid w:val="006A4C89"/>
    <w:rsid w:val="006B5758"/>
    <w:rsid w:val="006B656E"/>
    <w:rsid w:val="006E0C6F"/>
    <w:rsid w:val="006F39EA"/>
    <w:rsid w:val="00707EB7"/>
    <w:rsid w:val="00724690"/>
    <w:rsid w:val="0075422A"/>
    <w:rsid w:val="007A3FF9"/>
    <w:rsid w:val="007A4A38"/>
    <w:rsid w:val="007B106D"/>
    <w:rsid w:val="007B69CD"/>
    <w:rsid w:val="007E314A"/>
    <w:rsid w:val="00836839"/>
    <w:rsid w:val="008406FC"/>
    <w:rsid w:val="00880D5F"/>
    <w:rsid w:val="00882085"/>
    <w:rsid w:val="008859AC"/>
    <w:rsid w:val="008A7215"/>
    <w:rsid w:val="008D11BE"/>
    <w:rsid w:val="008D6824"/>
    <w:rsid w:val="008E1CE8"/>
    <w:rsid w:val="008F3B5C"/>
    <w:rsid w:val="009159D4"/>
    <w:rsid w:val="009513C6"/>
    <w:rsid w:val="009530F8"/>
    <w:rsid w:val="00965D9F"/>
    <w:rsid w:val="00975B1A"/>
    <w:rsid w:val="00980F10"/>
    <w:rsid w:val="00994707"/>
    <w:rsid w:val="009B2E9F"/>
    <w:rsid w:val="009D0633"/>
    <w:rsid w:val="009D0AF2"/>
    <w:rsid w:val="00A002E4"/>
    <w:rsid w:val="00A11899"/>
    <w:rsid w:val="00A36EC6"/>
    <w:rsid w:val="00A444C3"/>
    <w:rsid w:val="00A678C7"/>
    <w:rsid w:val="00A779D7"/>
    <w:rsid w:val="00AA4262"/>
    <w:rsid w:val="00AB09C0"/>
    <w:rsid w:val="00AB3108"/>
    <w:rsid w:val="00AD6D31"/>
    <w:rsid w:val="00AF673E"/>
    <w:rsid w:val="00B1628D"/>
    <w:rsid w:val="00B338D8"/>
    <w:rsid w:val="00B423C5"/>
    <w:rsid w:val="00B7099E"/>
    <w:rsid w:val="00B87C52"/>
    <w:rsid w:val="00B91F93"/>
    <w:rsid w:val="00BA1869"/>
    <w:rsid w:val="00BA3BEC"/>
    <w:rsid w:val="00BA3CA3"/>
    <w:rsid w:val="00BB30D6"/>
    <w:rsid w:val="00BC06A4"/>
    <w:rsid w:val="00BE00FF"/>
    <w:rsid w:val="00BE3DB9"/>
    <w:rsid w:val="00BF1018"/>
    <w:rsid w:val="00BF7161"/>
    <w:rsid w:val="00C35075"/>
    <w:rsid w:val="00D006ED"/>
    <w:rsid w:val="00D066DC"/>
    <w:rsid w:val="00D461E5"/>
    <w:rsid w:val="00D828E8"/>
    <w:rsid w:val="00D84C05"/>
    <w:rsid w:val="00D87C80"/>
    <w:rsid w:val="00DC1951"/>
    <w:rsid w:val="00DE5C12"/>
    <w:rsid w:val="00E04F27"/>
    <w:rsid w:val="00E10D6A"/>
    <w:rsid w:val="00E15481"/>
    <w:rsid w:val="00E220FD"/>
    <w:rsid w:val="00E83FD3"/>
    <w:rsid w:val="00EB5B0E"/>
    <w:rsid w:val="00EC2CC1"/>
    <w:rsid w:val="00ED1D11"/>
    <w:rsid w:val="00EF1B40"/>
    <w:rsid w:val="00EF2A86"/>
    <w:rsid w:val="00F10C45"/>
    <w:rsid w:val="00F805DD"/>
    <w:rsid w:val="00F94142"/>
    <w:rsid w:val="00FB0F5A"/>
    <w:rsid w:val="00FB6B58"/>
    <w:rsid w:val="00FC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7112B0"/>
  <w15:docId w15:val="{B8C70B0A-F422-46D8-B0DA-803B8727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8B6"/>
    <w:pPr>
      <w:spacing w:line="264" w:lineRule="auto"/>
      <w:ind w:left="851"/>
    </w:pPr>
    <w:rPr>
      <w:rFonts w:cs="Arial"/>
      <w:sz w:val="24"/>
      <w:szCs w:val="24"/>
      <w:lang w:eastAsia="en-US"/>
    </w:rPr>
  </w:style>
  <w:style w:type="paragraph" w:styleId="Heading1">
    <w:name w:val="heading 1"/>
    <w:basedOn w:val="Normal"/>
    <w:next w:val="BodyText"/>
    <w:link w:val="Heading1Char"/>
    <w:uiPriority w:val="9"/>
    <w:qFormat/>
    <w:rsid w:val="00530D2A"/>
    <w:pPr>
      <w:spacing w:after="200"/>
      <w:ind w:left="0"/>
      <w:outlineLvl w:val="0"/>
    </w:pPr>
    <w:rPr>
      <w:rFonts w:ascii="Arial Bold" w:eastAsia="Times New Roman" w:hAnsi="Arial Bold"/>
      <w:b/>
      <w:sz w:val="36"/>
      <w:szCs w:val="36"/>
    </w:rPr>
  </w:style>
  <w:style w:type="paragraph" w:styleId="Heading2">
    <w:name w:val="heading 2"/>
    <w:basedOn w:val="Normal"/>
    <w:next w:val="Normal"/>
    <w:link w:val="Heading2Char"/>
    <w:uiPriority w:val="9"/>
    <w:unhideWhenUsed/>
    <w:qFormat/>
    <w:rsid w:val="00530D2A"/>
    <w:pPr>
      <w:spacing w:after="120"/>
      <w:ind w:left="0"/>
      <w:outlineLvl w:val="1"/>
    </w:pPr>
    <w:rPr>
      <w:b/>
      <w:sz w:val="28"/>
      <w:szCs w:val="28"/>
    </w:rPr>
  </w:style>
  <w:style w:type="paragraph" w:styleId="Heading3">
    <w:name w:val="heading 3"/>
    <w:basedOn w:val="Normal"/>
    <w:next w:val="Normal"/>
    <w:link w:val="Heading3Char"/>
    <w:uiPriority w:val="9"/>
    <w:unhideWhenUsed/>
    <w:qFormat/>
    <w:rsid w:val="00530D2A"/>
    <w:pPr>
      <w:spacing w:after="120"/>
      <w:ind w:left="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0D2A"/>
    <w:rPr>
      <w:rFonts w:ascii="Arial Bold" w:eastAsia="Times New Roman" w:hAnsi="Arial Bold" w:cs="Arial"/>
      <w:b/>
      <w:sz w:val="36"/>
      <w:szCs w:val="36"/>
      <w:lang w:eastAsia="en-US"/>
    </w:rPr>
  </w:style>
  <w:style w:type="character" w:styleId="PlaceholderText">
    <w:name w:val="Placeholder Text"/>
    <w:uiPriority w:val="99"/>
    <w:semiHidden/>
    <w:rsid w:val="007A3FF9"/>
    <w:rPr>
      <w:color w:val="808080"/>
    </w:rPr>
  </w:style>
  <w:style w:type="paragraph" w:styleId="BalloonText">
    <w:name w:val="Balloon Text"/>
    <w:basedOn w:val="Normal"/>
    <w:link w:val="BalloonTextChar"/>
    <w:uiPriority w:val="99"/>
    <w:semiHidden/>
    <w:unhideWhenUsed/>
    <w:rsid w:val="007A3FF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A3FF9"/>
    <w:rPr>
      <w:rFonts w:ascii="Tahoma" w:hAnsi="Tahoma" w:cs="Tahoma"/>
      <w:sz w:val="16"/>
      <w:szCs w:val="16"/>
      <w:lang w:eastAsia="en-US"/>
    </w:rPr>
  </w:style>
  <w:style w:type="paragraph" w:styleId="Footer">
    <w:name w:val="footer"/>
    <w:basedOn w:val="Normal"/>
    <w:link w:val="FooterChar"/>
    <w:uiPriority w:val="99"/>
    <w:unhideWhenUsed/>
    <w:rsid w:val="00A002E4"/>
    <w:pPr>
      <w:tabs>
        <w:tab w:val="center" w:pos="4513"/>
        <w:tab w:val="right" w:pos="9026"/>
      </w:tabs>
      <w:spacing w:line="240" w:lineRule="auto"/>
    </w:pPr>
  </w:style>
  <w:style w:type="character" w:customStyle="1" w:styleId="FooterChar">
    <w:name w:val="Footer Char"/>
    <w:link w:val="Footer"/>
    <w:uiPriority w:val="99"/>
    <w:rsid w:val="00A002E4"/>
    <w:rPr>
      <w:sz w:val="24"/>
      <w:szCs w:val="24"/>
      <w:lang w:eastAsia="en-US"/>
    </w:rPr>
  </w:style>
  <w:style w:type="character" w:customStyle="1" w:styleId="Heading2Char">
    <w:name w:val="Heading 2 Char"/>
    <w:link w:val="Heading2"/>
    <w:uiPriority w:val="9"/>
    <w:rsid w:val="00530D2A"/>
    <w:rPr>
      <w:rFonts w:cs="Arial"/>
      <w:b/>
      <w:sz w:val="28"/>
      <w:szCs w:val="28"/>
      <w:lang w:eastAsia="en-US"/>
    </w:rPr>
  </w:style>
  <w:style w:type="character" w:customStyle="1" w:styleId="Heading3Char">
    <w:name w:val="Heading 3 Char"/>
    <w:link w:val="Heading3"/>
    <w:uiPriority w:val="9"/>
    <w:rsid w:val="00530D2A"/>
    <w:rPr>
      <w:rFonts w:cs="Arial"/>
      <w:b/>
      <w:sz w:val="24"/>
      <w:szCs w:val="24"/>
      <w:lang w:eastAsia="en-US"/>
    </w:rPr>
  </w:style>
  <w:style w:type="paragraph" w:customStyle="1" w:styleId="Bullet">
    <w:name w:val="Bullet"/>
    <w:qFormat/>
    <w:rsid w:val="00707EB7"/>
    <w:pPr>
      <w:numPr>
        <w:ilvl w:val="3"/>
        <w:numId w:val="4"/>
      </w:numPr>
      <w:tabs>
        <w:tab w:val="clear" w:pos="2880"/>
      </w:tabs>
      <w:spacing w:before="120" w:after="120" w:line="276" w:lineRule="auto"/>
      <w:ind w:left="992" w:hanging="425"/>
    </w:pPr>
    <w:rPr>
      <w:rFonts w:cs="Arial"/>
      <w:sz w:val="24"/>
      <w:szCs w:val="24"/>
      <w:lang w:eastAsia="en-US"/>
    </w:rPr>
  </w:style>
  <w:style w:type="paragraph" w:customStyle="1" w:styleId="DocumentControlSheet">
    <w:name w:val="Document Control Sheet"/>
    <w:basedOn w:val="Normal"/>
    <w:qFormat/>
    <w:rsid w:val="00F94142"/>
    <w:pPr>
      <w:spacing w:line="240" w:lineRule="auto"/>
      <w:ind w:left="0"/>
    </w:pPr>
    <w:rPr>
      <w:rFonts w:eastAsia="Times New Roman"/>
      <w:sz w:val="22"/>
      <w:szCs w:val="22"/>
      <w:lang w:eastAsia="en-GB"/>
    </w:rPr>
  </w:style>
  <w:style w:type="paragraph" w:customStyle="1" w:styleId="Bullet-2">
    <w:name w:val="Bullet - 2"/>
    <w:basedOn w:val="Normal"/>
    <w:qFormat/>
    <w:rsid w:val="00530D2A"/>
    <w:pPr>
      <w:numPr>
        <w:ilvl w:val="1"/>
        <w:numId w:val="5"/>
      </w:numPr>
      <w:spacing w:after="120" w:line="276" w:lineRule="auto"/>
      <w:ind w:left="1418" w:hanging="425"/>
    </w:pPr>
  </w:style>
  <w:style w:type="paragraph" w:styleId="Header">
    <w:name w:val="header"/>
    <w:basedOn w:val="Normal"/>
    <w:link w:val="HeaderChar"/>
    <w:unhideWhenUsed/>
    <w:rsid w:val="00EF2A86"/>
    <w:pPr>
      <w:tabs>
        <w:tab w:val="center" w:pos="4513"/>
        <w:tab w:val="right" w:pos="9026"/>
      </w:tabs>
    </w:pPr>
  </w:style>
  <w:style w:type="character" w:customStyle="1" w:styleId="HeaderChar">
    <w:name w:val="Header Char"/>
    <w:link w:val="Header"/>
    <w:rsid w:val="00EF2A86"/>
    <w:rPr>
      <w:rFonts w:cs="Arial"/>
      <w:sz w:val="24"/>
      <w:szCs w:val="24"/>
      <w:lang w:eastAsia="en-US"/>
    </w:rPr>
  </w:style>
  <w:style w:type="paragraph" w:styleId="TOC1">
    <w:name w:val="toc 1"/>
    <w:basedOn w:val="Normal"/>
    <w:next w:val="Normal"/>
    <w:autoRedefine/>
    <w:uiPriority w:val="39"/>
    <w:unhideWhenUsed/>
    <w:rsid w:val="00BC06A4"/>
    <w:pPr>
      <w:spacing w:line="288" w:lineRule="auto"/>
      <w:ind w:left="0"/>
    </w:pPr>
  </w:style>
  <w:style w:type="paragraph" w:styleId="TOC2">
    <w:name w:val="toc 2"/>
    <w:basedOn w:val="Normal"/>
    <w:next w:val="Normal"/>
    <w:autoRedefine/>
    <w:uiPriority w:val="39"/>
    <w:unhideWhenUsed/>
    <w:rsid w:val="00BC06A4"/>
    <w:pPr>
      <w:spacing w:line="288" w:lineRule="auto"/>
      <w:ind w:left="240"/>
    </w:pPr>
  </w:style>
  <w:style w:type="paragraph" w:styleId="TOC3">
    <w:name w:val="toc 3"/>
    <w:basedOn w:val="Normal"/>
    <w:next w:val="Normal"/>
    <w:autoRedefine/>
    <w:uiPriority w:val="39"/>
    <w:unhideWhenUsed/>
    <w:rsid w:val="00BC06A4"/>
    <w:pPr>
      <w:spacing w:line="288" w:lineRule="auto"/>
      <w:ind w:left="480"/>
    </w:pPr>
  </w:style>
  <w:style w:type="character" w:styleId="Hyperlink">
    <w:name w:val="Hyperlink"/>
    <w:uiPriority w:val="99"/>
    <w:unhideWhenUsed/>
    <w:rsid w:val="00BC06A4"/>
    <w:rPr>
      <w:color w:val="0000FF"/>
      <w:u w:val="single"/>
    </w:rPr>
  </w:style>
  <w:style w:type="paragraph" w:styleId="BodyText">
    <w:name w:val="Body Text"/>
    <w:basedOn w:val="Normal"/>
    <w:link w:val="BodyTextChar"/>
    <w:unhideWhenUsed/>
    <w:qFormat/>
    <w:rsid w:val="00707EB7"/>
    <w:pPr>
      <w:spacing w:line="276" w:lineRule="auto"/>
      <w:ind w:left="0"/>
    </w:pPr>
  </w:style>
  <w:style w:type="character" w:customStyle="1" w:styleId="BodyTextChar">
    <w:name w:val="Body Text Char"/>
    <w:basedOn w:val="DefaultParagraphFont"/>
    <w:link w:val="BodyText"/>
    <w:rsid w:val="00707EB7"/>
    <w:rPr>
      <w:rFonts w:cs="Arial"/>
      <w:sz w:val="24"/>
      <w:szCs w:val="24"/>
      <w:lang w:eastAsia="en-US"/>
    </w:rPr>
  </w:style>
  <w:style w:type="table" w:styleId="TableGridLight">
    <w:name w:val="Grid Table Light"/>
    <w:basedOn w:val="TableNormal"/>
    <w:uiPriority w:val="40"/>
    <w:rsid w:val="002C54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5E70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7EB7"/>
    <w:rPr>
      <w:color w:val="605E5C"/>
      <w:shd w:val="clear" w:color="auto" w:fill="E1DFDD"/>
    </w:rPr>
  </w:style>
  <w:style w:type="table" w:customStyle="1" w:styleId="TableGrid1">
    <w:name w:val="Table Grid1"/>
    <w:basedOn w:val="TableNormal"/>
    <w:next w:val="TableGrid"/>
    <w:rsid w:val="00E220F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5B0F"/>
    <w:rPr>
      <w:sz w:val="16"/>
      <w:szCs w:val="16"/>
    </w:rPr>
  </w:style>
  <w:style w:type="paragraph" w:styleId="CommentText">
    <w:name w:val="annotation text"/>
    <w:basedOn w:val="Normal"/>
    <w:link w:val="CommentTextChar"/>
    <w:uiPriority w:val="99"/>
    <w:semiHidden/>
    <w:unhideWhenUsed/>
    <w:rsid w:val="000D5B0F"/>
    <w:pPr>
      <w:spacing w:line="240" w:lineRule="auto"/>
    </w:pPr>
    <w:rPr>
      <w:sz w:val="20"/>
      <w:szCs w:val="20"/>
    </w:rPr>
  </w:style>
  <w:style w:type="character" w:customStyle="1" w:styleId="CommentTextChar">
    <w:name w:val="Comment Text Char"/>
    <w:basedOn w:val="DefaultParagraphFont"/>
    <w:link w:val="CommentText"/>
    <w:uiPriority w:val="99"/>
    <w:semiHidden/>
    <w:rsid w:val="000D5B0F"/>
    <w:rPr>
      <w:rFonts w:cs="Arial"/>
      <w:lang w:eastAsia="en-US"/>
    </w:rPr>
  </w:style>
  <w:style w:type="paragraph" w:styleId="CommentSubject">
    <w:name w:val="annotation subject"/>
    <w:basedOn w:val="CommentText"/>
    <w:next w:val="CommentText"/>
    <w:link w:val="CommentSubjectChar"/>
    <w:uiPriority w:val="99"/>
    <w:semiHidden/>
    <w:unhideWhenUsed/>
    <w:rsid w:val="000D5B0F"/>
    <w:rPr>
      <w:b/>
      <w:bCs/>
    </w:rPr>
  </w:style>
  <w:style w:type="character" w:customStyle="1" w:styleId="CommentSubjectChar">
    <w:name w:val="Comment Subject Char"/>
    <w:basedOn w:val="CommentTextChar"/>
    <w:link w:val="CommentSubject"/>
    <w:uiPriority w:val="99"/>
    <w:semiHidden/>
    <w:rsid w:val="000D5B0F"/>
    <w:rPr>
      <w:rFonts w:cs="Arial"/>
      <w:b/>
      <w:bCs/>
      <w:lang w:eastAsia="en-US"/>
    </w:rPr>
  </w:style>
  <w:style w:type="paragraph" w:styleId="Revision">
    <w:name w:val="Revision"/>
    <w:hidden/>
    <w:uiPriority w:val="99"/>
    <w:semiHidden/>
    <w:rsid w:val="00184F7F"/>
    <w:rPr>
      <w:rFonts w:cs="Arial"/>
      <w:sz w:val="24"/>
      <w:szCs w:val="24"/>
      <w:lang w:eastAsia="en-US"/>
    </w:rPr>
  </w:style>
  <w:style w:type="character" w:styleId="FollowedHyperlink">
    <w:name w:val="FollowedHyperlink"/>
    <w:basedOn w:val="DefaultParagraphFont"/>
    <w:uiPriority w:val="99"/>
    <w:semiHidden/>
    <w:unhideWhenUsed/>
    <w:rsid w:val="00AF6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872">
      <w:bodyDiv w:val="1"/>
      <w:marLeft w:val="0"/>
      <w:marRight w:val="0"/>
      <w:marTop w:val="0"/>
      <w:marBottom w:val="0"/>
      <w:divBdr>
        <w:top w:val="none" w:sz="0" w:space="0" w:color="auto"/>
        <w:left w:val="none" w:sz="0" w:space="0" w:color="auto"/>
        <w:bottom w:val="none" w:sz="0" w:space="0" w:color="auto"/>
        <w:right w:val="none" w:sz="0" w:space="0" w:color="auto"/>
      </w:divBdr>
    </w:div>
    <w:div w:id="470294138">
      <w:bodyDiv w:val="1"/>
      <w:marLeft w:val="0"/>
      <w:marRight w:val="0"/>
      <w:marTop w:val="0"/>
      <w:marBottom w:val="0"/>
      <w:divBdr>
        <w:top w:val="none" w:sz="0" w:space="0" w:color="auto"/>
        <w:left w:val="none" w:sz="0" w:space="0" w:color="auto"/>
        <w:bottom w:val="none" w:sz="0" w:space="0" w:color="auto"/>
        <w:right w:val="none" w:sz="0" w:space="0" w:color="auto"/>
      </w:divBdr>
    </w:div>
    <w:div w:id="922101843">
      <w:bodyDiv w:val="1"/>
      <w:marLeft w:val="0"/>
      <w:marRight w:val="0"/>
      <w:marTop w:val="0"/>
      <w:marBottom w:val="0"/>
      <w:divBdr>
        <w:top w:val="none" w:sz="0" w:space="0" w:color="auto"/>
        <w:left w:val="none" w:sz="0" w:space="0" w:color="auto"/>
        <w:bottom w:val="none" w:sz="0" w:space="0" w:color="auto"/>
        <w:right w:val="none" w:sz="0" w:space="0" w:color="auto"/>
      </w:divBdr>
    </w:div>
    <w:div w:id="189472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sab.org.uk/publications/guidance-and-resources/" TargetMode="External"/><Relationship Id="rId3" Type="http://schemas.openxmlformats.org/officeDocument/2006/relationships/customXml" Target="../customXml/item3.xml"/><Relationship Id="rId21" Type="http://schemas.openxmlformats.org/officeDocument/2006/relationships/hyperlink" Target="mailto:MARM@eastsussex.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astsussexsab.org.uk/publications/guidance-and-resources/" TargetMode="External"/><Relationship Id="rId2" Type="http://schemas.openxmlformats.org/officeDocument/2006/relationships/customXml" Target="../customXml/item2.xml"/><Relationship Id="rId16" Type="http://schemas.openxmlformats.org/officeDocument/2006/relationships/hyperlink" Target="https://www.eastsussexsab.org.uk/documents/assessing-and-supporting-people-with-multiple-and-complex-needs-guidance-for-positive-practice/" TargetMode="External"/><Relationship Id="rId20" Type="http://schemas.openxmlformats.org/officeDocument/2006/relationships/hyperlink" Target="mailto:MARM@ea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eastsussexsab.org.uk/documents/multi-agency-risk-management-marm-group-referral-for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A4C39531E97540A8A398DE09C85E9C" ma:contentTypeVersion="2" ma:contentTypeDescription="Create a new document." ma:contentTypeScope="" ma:versionID="80ae667b2d3f31372ae38481b05ec1c3">
  <xsd:schema xmlns:xsd="http://www.w3.org/2001/XMLSchema" xmlns:xs="http://www.w3.org/2001/XMLSchema" xmlns:p="http://schemas.microsoft.com/office/2006/metadata/properties" targetNamespace="http://schemas.microsoft.com/office/2006/metadata/properties" ma:root="true" ma:fieldsID="aee05f60382b7a3b25d77d5cc9b8a4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91f71b9-b64f-4844-8bf8-0e85b55a74e6"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79BFB-FDDB-408A-9ACD-B122CE47D0B2}">
  <ds:schemaRefs>
    <ds:schemaRef ds:uri="http://schemas.microsoft.com/sharepoint/v3/contenttype/forms"/>
  </ds:schemaRefs>
</ds:datastoreItem>
</file>

<file path=customXml/itemProps2.xml><?xml version="1.0" encoding="utf-8"?>
<ds:datastoreItem xmlns:ds="http://schemas.openxmlformats.org/officeDocument/2006/customXml" ds:itemID="{306E5720-DB6D-47FE-B1DF-46086C9390F7}">
  <ds:schemaRef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19700B2-6FB1-4915-A9F7-B988CFE49627}">
  <ds:schemaRefs>
    <ds:schemaRef ds:uri="http://schemas.microsoft.com/office/2006/metadata/longProperties"/>
  </ds:schemaRefs>
</ds:datastoreItem>
</file>

<file path=customXml/itemProps4.xml><?xml version="1.0" encoding="utf-8"?>
<ds:datastoreItem xmlns:ds="http://schemas.openxmlformats.org/officeDocument/2006/customXml" ds:itemID="{2C92B602-0F1B-4F0E-A6DF-07E3E1177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4CC3B59-55FF-4311-8C29-F8392DB9CA65}">
  <ds:schemaRefs>
    <ds:schemaRef ds:uri="Microsoft.SharePoint.Taxonomy.ContentTypeSync"/>
  </ds:schemaRefs>
</ds:datastoreItem>
</file>

<file path=customXml/itemProps6.xml><?xml version="1.0" encoding="utf-8"?>
<ds:datastoreItem xmlns:ds="http://schemas.openxmlformats.org/officeDocument/2006/customXml" ds:itemID="{AFA84151-2983-4082-841E-AAA726FF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Multi-Agency Risk Management (MARM) Protocol</vt:lpstr>
    </vt:vector>
  </TitlesOfParts>
  <Company>East Sussex County Council</Company>
  <LinksUpToDate>false</LinksUpToDate>
  <CharactersWithSpaces>19754</CharactersWithSpaces>
  <SharedDoc>false</SharedDoc>
  <HLinks>
    <vt:vector size="18" baseType="variant">
      <vt:variant>
        <vt:i4>1900599</vt:i4>
      </vt:variant>
      <vt:variant>
        <vt:i4>23</vt:i4>
      </vt:variant>
      <vt:variant>
        <vt:i4>0</vt:i4>
      </vt:variant>
      <vt:variant>
        <vt:i4>5</vt:i4>
      </vt:variant>
      <vt:variant>
        <vt:lpwstr/>
      </vt:variant>
      <vt:variant>
        <vt:lpwstr>_Toc424129502</vt:lpwstr>
      </vt:variant>
      <vt:variant>
        <vt:i4>1900599</vt:i4>
      </vt:variant>
      <vt:variant>
        <vt:i4>17</vt:i4>
      </vt:variant>
      <vt:variant>
        <vt:i4>0</vt:i4>
      </vt:variant>
      <vt:variant>
        <vt:i4>5</vt:i4>
      </vt:variant>
      <vt:variant>
        <vt:lpwstr/>
      </vt:variant>
      <vt:variant>
        <vt:lpwstr>_Toc424129501</vt:lpwstr>
      </vt:variant>
      <vt:variant>
        <vt:i4>1900599</vt:i4>
      </vt:variant>
      <vt:variant>
        <vt:i4>11</vt:i4>
      </vt:variant>
      <vt:variant>
        <vt:i4>0</vt:i4>
      </vt:variant>
      <vt:variant>
        <vt:i4>5</vt:i4>
      </vt:variant>
      <vt:variant>
        <vt:lpwstr/>
      </vt:variant>
      <vt:variant>
        <vt:lpwstr>_Toc424129500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Multi-Agency Risk Management (MARM) Protocol</dc:title>
  <dc:creator>Clare Halden</dc:creator>
  <cp:lastModifiedBy>Sophie Watson</cp:lastModifiedBy>
  <cp:revision>2</cp:revision>
  <cp:lastPrinted>2021-12-16T16:51:00Z</cp:lastPrinted>
  <dcterms:created xsi:type="dcterms:W3CDTF">2024-05-29T13:54:00Z</dcterms:created>
  <dcterms:modified xsi:type="dcterms:W3CDTF">2024-05-29T13:54:00Z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0x0101009BA4C39531E97540A8A398DE09C85E9C</vt:lpwstr>
  </property>
  <property fmtid="{D5CDD505-2E9C-101B-9397-08002B2CF9AE}" pid="3" name="nc39939b412e4b258e3d91afae22f476">
    <vt:lpwstr>Communications|9a098ab7-3e06-454e-84f1-ae4792f444f7</vt:lpwstr>
  </property>
  <property fmtid="{D5CDD505-2E9C-101B-9397-08002B2CF9AE}" pid="4" name="Web">
    <vt:lpwstr/>
  </property>
  <property fmtid="{D5CDD505-2E9C-101B-9397-08002B2CF9AE}" pid="5" name="1Space">
    <vt:lpwstr/>
  </property>
  <property fmtid="{D5CDD505-2E9C-101B-9397-08002B2CF9AE}" pid="6" name="Intranet">
    <vt:lpwstr>292;#Published|9443443f-79e3-4753-abdb-a1953d97f822</vt:lpwstr>
  </property>
  <property fmtid="{D5CDD505-2E9C-101B-9397-08002B2CF9AE}" pid="7" name="Customer Insight">
    <vt:lpwstr/>
  </property>
  <property fmtid="{D5CDD505-2E9C-101B-9397-08002B2CF9AE}" pid="8" name="Teams Admin">
    <vt:lpwstr>175;#Templates|da6092b2-ae4f-404e-8908-11034115d0af</vt:lpwstr>
  </property>
  <property fmtid="{D5CDD505-2E9C-101B-9397-08002B2CF9AE}" pid="9" name="Service Management Document Type">
    <vt:lpwstr>31;#Communications|9a098ab7-3e06-454e-84f1-ae4792f444f7</vt:lpwstr>
  </property>
  <property fmtid="{D5CDD505-2E9C-101B-9397-08002B2CF9AE}" pid="10" name="ItemRetentionFormula">
    <vt:lpwstr/>
  </property>
  <property fmtid="{D5CDD505-2E9C-101B-9397-08002B2CF9AE}" pid="11" name="_dlc_policyId">
    <vt:lpwstr/>
  </property>
  <property fmtid="{D5CDD505-2E9C-101B-9397-08002B2CF9AE}" pid="12" name="_dlc_DocId">
    <vt:lpwstr>ASCPPE-12-970</vt:lpwstr>
  </property>
  <property fmtid="{D5CDD505-2E9C-101B-9397-08002B2CF9AE}" pid="13" name="_dlc_DocIdItemGuid">
    <vt:lpwstr>5c59e565-010b-45e6-83df-1d97789c3fd6</vt:lpwstr>
  </property>
  <property fmtid="{D5CDD505-2E9C-101B-9397-08002B2CF9AE}" pid="14" name="_dlc_DocIdUrl">
    <vt:lpwstr>https://services.escc.gov.uk/sites/ASCPPE/_layouts/15/DocIdRedir.aspx?ID=ASCPPE-12-970, ASCPPE-12-970</vt:lpwstr>
  </property>
  <property fmtid="{D5CDD505-2E9C-101B-9397-08002B2CF9AE}" pid="15" name="Administration Document Type">
    <vt:lpwstr>20;#Template|5c37809f-c58d-402b-9020-0870bbb39fbd</vt:lpwstr>
  </property>
  <property fmtid="{D5CDD505-2E9C-101B-9397-08002B2CF9AE}" pid="16" name="IsMyDocuments">
    <vt:bool>true</vt:bool>
  </property>
  <property fmtid="{D5CDD505-2E9C-101B-9397-08002B2CF9AE}" pid="17" name="ia40b914e86141268670d7c54bc5df15">
    <vt:lpwstr>Template|5c37809f-c58d-402b-9020-0870bbb39fbd</vt:lpwstr>
  </property>
  <property fmtid="{D5CDD505-2E9C-101B-9397-08002B2CF9AE}" pid="18" name="Management Document Type">
    <vt:lpwstr/>
  </property>
  <property fmtid="{D5CDD505-2E9C-101B-9397-08002B2CF9AE}" pid="19" name="Order">
    <vt:r8>353500</vt:r8>
  </property>
  <property fmtid="{D5CDD505-2E9C-101B-9397-08002B2CF9AE}" pid="20" name="Provider and Supplier Document Type">
    <vt:lpwstr/>
  </property>
  <property fmtid="{D5CDD505-2E9C-101B-9397-08002B2CF9AE}" pid="21" name="Training">
    <vt:lpwstr/>
  </property>
  <property fmtid="{D5CDD505-2E9C-101B-9397-08002B2CF9AE}" pid="22" name="c7341cb175b64701a2f371516e3c5ffa">
    <vt:lpwstr/>
  </property>
  <property fmtid="{D5CDD505-2E9C-101B-9397-08002B2CF9AE}" pid="23" name="xd_ProgID">
    <vt:lpwstr/>
  </property>
  <property fmtid="{D5CDD505-2E9C-101B-9397-08002B2CF9AE}" pid="24" name="p23cfbf5ca724db9bbf8f89111f5d616">
    <vt:lpwstr/>
  </property>
  <property fmtid="{D5CDD505-2E9C-101B-9397-08002B2CF9AE}" pid="25" name="Record Management Document Type">
    <vt:lpwstr/>
  </property>
  <property fmtid="{D5CDD505-2E9C-101B-9397-08002B2CF9AE}" pid="26" name="Staff Document Type">
    <vt:lpwstr/>
  </property>
  <property fmtid="{D5CDD505-2E9C-101B-9397-08002B2CF9AE}" pid="27" name="Coroner Document Type">
    <vt:lpwstr/>
  </property>
  <property fmtid="{D5CDD505-2E9C-101B-9397-08002B2CF9AE}" pid="28" name="TemplateUrl">
    <vt:lpwstr/>
  </property>
  <property fmtid="{D5CDD505-2E9C-101B-9397-08002B2CF9AE}" pid="29" name="l2a2c13191bf4335b2c36228ef62c53e">
    <vt:lpwstr/>
  </property>
  <property fmtid="{D5CDD505-2E9C-101B-9397-08002B2CF9AE}" pid="30" name="Insurance Document Type">
    <vt:lpwstr/>
  </property>
  <property fmtid="{D5CDD505-2E9C-101B-9397-08002B2CF9AE}" pid="31" name="Financial Document Type">
    <vt:lpwstr/>
  </property>
  <property fmtid="{D5CDD505-2E9C-101B-9397-08002B2CF9AE}" pid="32" name="Contract and Tender Document Type">
    <vt:lpwstr/>
  </property>
  <property fmtid="{D5CDD505-2E9C-101B-9397-08002B2CF9AE}" pid="33" name="Asset Document Type">
    <vt:lpwstr/>
  </property>
  <property fmtid="{D5CDD505-2E9C-101B-9397-08002B2CF9AE}" pid="34" name="Case Management Document Type">
    <vt:lpwstr/>
  </property>
  <property fmtid="{D5CDD505-2E9C-101B-9397-08002B2CF9AE}" pid="35" name="External Information Document Type">
    <vt:lpwstr/>
  </property>
  <property fmtid="{D5CDD505-2E9C-101B-9397-08002B2CF9AE}" pid="36" name="i441fec8d7de48e784c5a446ba9d3b0e">
    <vt:lpwstr/>
  </property>
  <property fmtid="{D5CDD505-2E9C-101B-9397-08002B2CF9AE}" pid="37" name="nc701821e2ae4ca7b090c56a0d021958">
    <vt:lpwstr/>
  </property>
  <property fmtid="{D5CDD505-2E9C-101B-9397-08002B2CF9AE}" pid="38" name="o00f61d71070476098c4709b5aeb3bd2">
    <vt:lpwstr/>
  </property>
  <property fmtid="{D5CDD505-2E9C-101B-9397-08002B2CF9AE}" pid="39" name="f7cb129e329c4afea658e45faf698a77">
    <vt:lpwstr/>
  </property>
  <property fmtid="{D5CDD505-2E9C-101B-9397-08002B2CF9AE}" pid="40" name="Technical Document Type">
    <vt:lpwstr/>
  </property>
  <property fmtid="{D5CDD505-2E9C-101B-9397-08002B2CF9AE}" pid="41" name="_CopySource">
    <vt:lpwstr>https://services.escc.gov.uk/sites/ASCPPE/Information and Guidance/Template - ASC guidance.docx</vt:lpwstr>
  </property>
  <property fmtid="{D5CDD505-2E9C-101B-9397-08002B2CF9AE}" pid="42" name="i1c0bb1d0bf247fbad3ccce67a2b1a3c">
    <vt:lpwstr/>
  </property>
  <property fmtid="{D5CDD505-2E9C-101B-9397-08002B2CF9AE}" pid="43" name="o911df34fb6e415aad03745923c490cb">
    <vt:lpwstr/>
  </property>
  <property fmtid="{D5CDD505-2E9C-101B-9397-08002B2CF9AE}" pid="44" name="bb6bdcaf81dc494fac08f49b5d971cbc">
    <vt:lpwstr/>
  </property>
  <property fmtid="{D5CDD505-2E9C-101B-9397-08002B2CF9AE}" pid="45" name="nc0f1aa2c1d9443a8a05db9738a0b1b3">
    <vt:lpwstr/>
  </property>
  <property fmtid="{D5CDD505-2E9C-101B-9397-08002B2CF9AE}" pid="46" name="Legal Document Type">
    <vt:lpwstr/>
  </property>
  <property fmtid="{D5CDD505-2E9C-101B-9397-08002B2CF9AE}" pid="47" name="Business Performance Document Type">
    <vt:lpwstr/>
  </property>
  <property fmtid="{D5CDD505-2E9C-101B-9397-08002B2CF9AE}" pid="48" name="bc09e3fac64b486c98a7da5b7bede6b9">
    <vt:lpwstr/>
  </property>
  <property fmtid="{D5CDD505-2E9C-101B-9397-08002B2CF9AE}" pid="49" name="d6542f9ca59a4e279c2d7a44dcfcd44a">
    <vt:lpwstr/>
  </property>
  <property fmtid="{D5CDD505-2E9C-101B-9397-08002B2CF9AE}" pid="50" name="Project Management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Planning Document Type">
    <vt:lpwstr/>
  </property>
  <property fmtid="{D5CDD505-2E9C-101B-9397-08002B2CF9AE}" pid="54" name="f47e7ecff5cf4fec9804331cf9cc7d2d">
    <vt:lpwstr/>
  </property>
  <property fmtid="{D5CDD505-2E9C-101B-9397-08002B2CF9AE}" pid="55" name="j5b1618db7f54834b043ba6986764825">
    <vt:lpwstr/>
  </property>
</Properties>
</file>