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292E" w14:textId="77777777" w:rsidR="00026C21" w:rsidRDefault="00C463EF" w:rsidP="00E9744D">
      <w:pPr>
        <w:spacing w:after="1600"/>
        <w:jc w:val="center"/>
      </w:pPr>
      <w:r w:rsidRPr="006B38A5">
        <w:rPr>
          <w:noProof/>
          <w:lang w:eastAsia="en-GB"/>
        </w:rPr>
        <w:drawing>
          <wp:inline distT="0" distB="0" distL="0" distR="0" wp14:anchorId="27AE568C" wp14:editId="38EBDD64">
            <wp:extent cx="2110740" cy="723862"/>
            <wp:effectExtent l="0" t="0" r="3810" b="635"/>
            <wp:docPr id="7"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3202" cy="738424"/>
                    </a:xfrm>
                    <a:prstGeom prst="rect">
                      <a:avLst/>
                    </a:prstGeom>
                  </pic:spPr>
                </pic:pic>
              </a:graphicData>
            </a:graphic>
          </wp:inline>
        </w:drawing>
      </w:r>
    </w:p>
    <w:p w14:paraId="19B51762" w14:textId="77777777" w:rsidR="003E1D2B" w:rsidRDefault="00B14A6D" w:rsidP="00E9744D">
      <w:pPr>
        <w:pStyle w:val="Heading1"/>
        <w:spacing w:after="1600"/>
        <w:jc w:val="center"/>
        <w:rPr>
          <w:lang w:eastAsia="en-GB"/>
        </w:rPr>
      </w:pPr>
      <w:bookmarkStart w:id="0" w:name="_Toc90455708"/>
      <w:r w:rsidRPr="00B14A6D">
        <w:rPr>
          <w:lang w:eastAsia="en-GB"/>
        </w:rPr>
        <w:t xml:space="preserve">Assessing and </w:t>
      </w:r>
      <w:r w:rsidR="003D56AD" w:rsidRPr="00B14A6D">
        <w:rPr>
          <w:lang w:eastAsia="en-GB"/>
        </w:rPr>
        <w:t>supporting people with multiple and complex needs</w:t>
      </w:r>
      <w:bookmarkStart w:id="1" w:name="_Toc88495027"/>
      <w:bookmarkStart w:id="2" w:name="_Toc90455709"/>
      <w:bookmarkEnd w:id="0"/>
    </w:p>
    <w:p w14:paraId="7135DC36" w14:textId="7D935F1F" w:rsidR="00C463EF" w:rsidRDefault="00B14A6D" w:rsidP="00E9744D">
      <w:pPr>
        <w:pStyle w:val="Heading1"/>
        <w:spacing w:after="1600"/>
        <w:jc w:val="center"/>
        <w:rPr>
          <w:lang w:eastAsia="en-GB"/>
        </w:rPr>
      </w:pPr>
      <w:r w:rsidRPr="00B14A6D">
        <w:rPr>
          <w:lang w:eastAsia="en-GB"/>
        </w:rPr>
        <w:t xml:space="preserve">Guidance for </w:t>
      </w:r>
      <w:r w:rsidR="003D56AD" w:rsidRPr="00B14A6D">
        <w:rPr>
          <w:lang w:eastAsia="en-GB"/>
        </w:rPr>
        <w:t>positive practice</w:t>
      </w:r>
      <w:bookmarkEnd w:id="1"/>
      <w:bookmarkEnd w:id="2"/>
    </w:p>
    <w:p w14:paraId="52BA4F45" w14:textId="507FF1FE" w:rsidR="00E9744D" w:rsidRDefault="00E9744D" w:rsidP="00E9744D">
      <w:pPr>
        <w:rPr>
          <w:lang w:eastAsia="en-GB"/>
        </w:rPr>
      </w:pPr>
    </w:p>
    <w:p w14:paraId="577374A4" w14:textId="034E897B" w:rsidR="00E9744D" w:rsidRDefault="00E9744D" w:rsidP="00E9744D">
      <w:pPr>
        <w:rPr>
          <w:lang w:eastAsia="en-GB"/>
        </w:rPr>
      </w:pPr>
    </w:p>
    <w:p w14:paraId="76FCD540" w14:textId="5C8DE07A" w:rsidR="00E9744D" w:rsidRDefault="00E9744D" w:rsidP="00E9744D">
      <w:pPr>
        <w:rPr>
          <w:lang w:eastAsia="en-GB"/>
        </w:rPr>
      </w:pPr>
    </w:p>
    <w:p w14:paraId="49E98C33" w14:textId="1FB45F3D" w:rsidR="00E9744D" w:rsidRDefault="00E9744D" w:rsidP="00E9744D">
      <w:pPr>
        <w:rPr>
          <w:lang w:eastAsia="en-GB"/>
        </w:rPr>
      </w:pPr>
    </w:p>
    <w:p w14:paraId="65B6716A" w14:textId="2329C993" w:rsidR="00E9744D" w:rsidRDefault="00E9744D" w:rsidP="00E9744D">
      <w:pPr>
        <w:rPr>
          <w:lang w:eastAsia="en-GB"/>
        </w:rPr>
      </w:pPr>
    </w:p>
    <w:p w14:paraId="1526CC9E" w14:textId="0C84966E" w:rsidR="00E9744D" w:rsidRDefault="00E9744D" w:rsidP="00E9744D">
      <w:pPr>
        <w:rPr>
          <w:lang w:eastAsia="en-GB"/>
        </w:rPr>
      </w:pPr>
    </w:p>
    <w:p w14:paraId="7AE87FF2" w14:textId="44815236" w:rsidR="00E9744D" w:rsidRDefault="00E9744D" w:rsidP="00E9744D">
      <w:pPr>
        <w:rPr>
          <w:lang w:eastAsia="en-GB"/>
        </w:rPr>
      </w:pPr>
    </w:p>
    <w:p w14:paraId="303BBFA7" w14:textId="7F3441EE" w:rsidR="00E9744D" w:rsidRDefault="00E9744D" w:rsidP="00E9744D">
      <w:pPr>
        <w:rPr>
          <w:lang w:eastAsia="en-GB"/>
        </w:rPr>
      </w:pPr>
    </w:p>
    <w:p w14:paraId="12D2469E" w14:textId="27EBD851" w:rsidR="00E9744D" w:rsidRDefault="00E9744D" w:rsidP="00E9744D">
      <w:pPr>
        <w:rPr>
          <w:lang w:eastAsia="en-GB"/>
        </w:rPr>
      </w:pPr>
    </w:p>
    <w:p w14:paraId="1DD668C1" w14:textId="77777777" w:rsidR="00E9744D" w:rsidRPr="00E9744D" w:rsidRDefault="00E9744D" w:rsidP="00E9744D">
      <w:pPr>
        <w:rPr>
          <w:lang w:eastAsia="en-GB"/>
        </w:rPr>
      </w:pPr>
    </w:p>
    <w:p w14:paraId="594FD128" w14:textId="77777777" w:rsidR="00BB606C" w:rsidRDefault="00BB606C" w:rsidP="00F049A7"/>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4253"/>
      </w:tblGrid>
      <w:tr w:rsidR="00442A1D" w:rsidRPr="00442A1D" w14:paraId="4D42D742" w14:textId="77777777" w:rsidTr="00442A1D">
        <w:trPr>
          <w:trHeight w:val="329"/>
        </w:trPr>
        <w:tc>
          <w:tcPr>
            <w:tcW w:w="2410" w:type="dxa"/>
            <w:vAlign w:val="center"/>
          </w:tcPr>
          <w:p w14:paraId="68EE3498" w14:textId="77777777" w:rsidR="00442A1D" w:rsidRPr="00442A1D" w:rsidRDefault="00442A1D" w:rsidP="00442A1D">
            <w:pPr>
              <w:ind w:left="-104"/>
              <w:rPr>
                <w:rFonts w:eastAsia="Times New Roman" w:cs="Arial"/>
                <w:b/>
              </w:rPr>
            </w:pPr>
            <w:r w:rsidRPr="00442A1D">
              <w:rPr>
                <w:rFonts w:eastAsia="Times New Roman" w:cs="Arial"/>
                <w:b/>
              </w:rPr>
              <w:t>Version control</w:t>
            </w:r>
          </w:p>
        </w:tc>
        <w:tc>
          <w:tcPr>
            <w:tcW w:w="4253" w:type="dxa"/>
            <w:vAlign w:val="center"/>
          </w:tcPr>
          <w:p w14:paraId="15648B5B" w14:textId="77777777" w:rsidR="00442A1D" w:rsidRPr="00442A1D" w:rsidRDefault="00442A1D" w:rsidP="00442A1D">
            <w:pPr>
              <w:rPr>
                <w:rFonts w:eastAsia="Times New Roman" w:cs="Arial"/>
              </w:rPr>
            </w:pPr>
            <w:r w:rsidRPr="00442A1D">
              <w:rPr>
                <w:rFonts w:eastAsia="Times New Roman" w:cs="Arial"/>
              </w:rPr>
              <w:t>V2</w:t>
            </w:r>
          </w:p>
        </w:tc>
      </w:tr>
      <w:tr w:rsidR="00442A1D" w:rsidRPr="00442A1D" w14:paraId="4714A3F0" w14:textId="77777777" w:rsidTr="00442A1D">
        <w:trPr>
          <w:trHeight w:val="329"/>
        </w:trPr>
        <w:tc>
          <w:tcPr>
            <w:tcW w:w="2410" w:type="dxa"/>
            <w:vAlign w:val="center"/>
          </w:tcPr>
          <w:p w14:paraId="1848D778" w14:textId="77777777" w:rsidR="00442A1D" w:rsidRPr="00442A1D" w:rsidRDefault="00442A1D" w:rsidP="00442A1D">
            <w:pPr>
              <w:ind w:left="-104"/>
              <w:rPr>
                <w:rFonts w:eastAsia="Times New Roman" w:cs="Arial"/>
                <w:b/>
              </w:rPr>
            </w:pPr>
            <w:r w:rsidRPr="00442A1D">
              <w:rPr>
                <w:rFonts w:eastAsia="Times New Roman" w:cs="Arial"/>
                <w:b/>
              </w:rPr>
              <w:t>Last reviewed</w:t>
            </w:r>
          </w:p>
        </w:tc>
        <w:tc>
          <w:tcPr>
            <w:tcW w:w="4253" w:type="dxa"/>
            <w:vAlign w:val="center"/>
          </w:tcPr>
          <w:p w14:paraId="3D7EDDED" w14:textId="27FC40E1" w:rsidR="00442A1D" w:rsidRPr="00442A1D" w:rsidRDefault="006B5F66" w:rsidP="00442A1D">
            <w:pPr>
              <w:rPr>
                <w:rFonts w:eastAsia="Times New Roman" w:cs="Arial"/>
              </w:rPr>
            </w:pPr>
            <w:r>
              <w:rPr>
                <w:rFonts w:eastAsia="Times New Roman" w:cs="Arial"/>
              </w:rPr>
              <w:t>December</w:t>
            </w:r>
            <w:r w:rsidRPr="00442A1D">
              <w:rPr>
                <w:rFonts w:eastAsia="Times New Roman" w:cs="Arial"/>
              </w:rPr>
              <w:t xml:space="preserve"> </w:t>
            </w:r>
            <w:r w:rsidR="00442A1D" w:rsidRPr="00442A1D">
              <w:rPr>
                <w:rFonts w:eastAsia="Times New Roman" w:cs="Arial"/>
              </w:rPr>
              <w:t>2021</w:t>
            </w:r>
          </w:p>
        </w:tc>
      </w:tr>
      <w:tr w:rsidR="00442A1D" w:rsidRPr="00442A1D" w14:paraId="2FE37641" w14:textId="77777777" w:rsidTr="00442A1D">
        <w:trPr>
          <w:trHeight w:val="329"/>
        </w:trPr>
        <w:tc>
          <w:tcPr>
            <w:tcW w:w="2410" w:type="dxa"/>
            <w:vAlign w:val="center"/>
          </w:tcPr>
          <w:p w14:paraId="7DE21C07" w14:textId="77777777" w:rsidR="00442A1D" w:rsidRPr="00442A1D" w:rsidRDefault="00442A1D" w:rsidP="00442A1D">
            <w:pPr>
              <w:ind w:left="-104"/>
              <w:rPr>
                <w:rFonts w:eastAsia="Times New Roman" w:cs="Arial"/>
                <w:b/>
              </w:rPr>
            </w:pPr>
            <w:r w:rsidRPr="00442A1D">
              <w:rPr>
                <w:rFonts w:eastAsia="Times New Roman" w:cs="Arial"/>
                <w:b/>
              </w:rPr>
              <w:t>Next review due</w:t>
            </w:r>
          </w:p>
        </w:tc>
        <w:tc>
          <w:tcPr>
            <w:tcW w:w="4253" w:type="dxa"/>
            <w:vAlign w:val="center"/>
          </w:tcPr>
          <w:p w14:paraId="665A43AF" w14:textId="2AB54AA2" w:rsidR="00442A1D" w:rsidRPr="00442A1D" w:rsidRDefault="006B5F66" w:rsidP="00442A1D">
            <w:pPr>
              <w:rPr>
                <w:rFonts w:eastAsia="Times New Roman" w:cs="Arial"/>
              </w:rPr>
            </w:pPr>
            <w:r>
              <w:rPr>
                <w:rFonts w:eastAsia="Times New Roman" w:cs="Arial"/>
              </w:rPr>
              <w:t>December</w:t>
            </w:r>
            <w:r w:rsidR="00442A1D" w:rsidRPr="00442A1D">
              <w:rPr>
                <w:rFonts w:eastAsia="Times New Roman" w:cs="Arial"/>
              </w:rPr>
              <w:t xml:space="preserve"> 2022</w:t>
            </w:r>
          </w:p>
        </w:tc>
      </w:tr>
    </w:tbl>
    <w:p w14:paraId="74EE298A" w14:textId="77777777" w:rsidR="006A3A42" w:rsidRDefault="006A3A42" w:rsidP="00442A1D">
      <w:pPr>
        <w:jc w:val="center"/>
        <w:sectPr w:rsidR="006A3A42" w:rsidSect="006A3A42">
          <w:pgSz w:w="11906" w:h="16838"/>
          <w:pgMar w:top="1440" w:right="1440" w:bottom="1440" w:left="1440" w:header="709" w:footer="709" w:gutter="0"/>
          <w:cols w:space="708"/>
          <w:titlePg/>
          <w:docGrid w:linePitch="360"/>
        </w:sectPr>
      </w:pPr>
    </w:p>
    <w:p w14:paraId="6780073C" w14:textId="193976EC" w:rsidR="00DE3650" w:rsidRDefault="00DE3650">
      <w:pPr>
        <w:rPr>
          <w:rFonts w:ascii="Arial Bold" w:eastAsia="Times New Roman" w:hAnsi="Arial Bold"/>
          <w:b/>
          <w:sz w:val="36"/>
          <w:szCs w:val="36"/>
        </w:rPr>
      </w:pPr>
    </w:p>
    <w:sdt>
      <w:sdtPr>
        <w:rPr>
          <w:rFonts w:ascii="Arial" w:eastAsiaTheme="minorHAnsi" w:hAnsi="Arial" w:cstheme="minorBidi"/>
          <w:color w:val="auto"/>
          <w:sz w:val="24"/>
          <w:szCs w:val="24"/>
          <w:lang w:val="en-GB"/>
        </w:rPr>
        <w:id w:val="-1445149046"/>
        <w:docPartObj>
          <w:docPartGallery w:val="Table of Contents"/>
          <w:docPartUnique/>
        </w:docPartObj>
      </w:sdtPr>
      <w:sdtEndPr>
        <w:rPr>
          <w:b/>
          <w:bCs/>
          <w:noProof/>
        </w:rPr>
      </w:sdtEndPr>
      <w:sdtContent>
        <w:p w14:paraId="62FC2013" w14:textId="1D5104C7" w:rsidR="00DE3650" w:rsidRDefault="00DE3650">
          <w:pPr>
            <w:pStyle w:val="TOCHeading"/>
            <w:rPr>
              <w:rStyle w:val="Heading1Char"/>
              <w:color w:val="auto"/>
            </w:rPr>
          </w:pPr>
          <w:r w:rsidRPr="00DE3650">
            <w:rPr>
              <w:rStyle w:val="Heading1Char"/>
              <w:color w:val="auto"/>
            </w:rPr>
            <w:t>Contents</w:t>
          </w:r>
        </w:p>
        <w:p w14:paraId="7D2A183F" w14:textId="77777777" w:rsidR="00DE3650" w:rsidRDefault="00DE3650" w:rsidP="00DE3650">
          <w:pPr>
            <w:tabs>
              <w:tab w:val="left" w:pos="709"/>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left" w:pos="6662"/>
              <w:tab w:val="left" w:pos="7088"/>
              <w:tab w:val="left" w:pos="7513"/>
              <w:tab w:val="left" w:pos="7938"/>
              <w:tab w:val="right" w:pos="8505"/>
            </w:tabs>
            <w:ind w:right="567"/>
            <w:rPr>
              <w:rFonts w:eastAsia="Times New Roman"/>
              <w:lang w:eastAsia="en-GB"/>
            </w:rPr>
          </w:pPr>
          <w:r>
            <w:rPr>
              <w:rFonts w:eastAsia="Times New Roman"/>
              <w:lang w:eastAsia="en-GB"/>
            </w:rPr>
            <w:t>CTRL + click to follow link</w:t>
          </w:r>
        </w:p>
        <w:p w14:paraId="7ACFC773" w14:textId="7C799C49" w:rsidR="000513F8" w:rsidRDefault="00DE3650">
          <w:pPr>
            <w:pStyle w:val="TOC1"/>
            <w:tabs>
              <w:tab w:val="right" w:leader="dot" w:pos="9016"/>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90455708" w:history="1">
            <w:r w:rsidR="000513F8" w:rsidRPr="008F2A24">
              <w:rPr>
                <w:rStyle w:val="Hyperlink"/>
                <w:noProof/>
                <w:lang w:eastAsia="en-GB"/>
              </w:rPr>
              <w:t>Assessing and supporting people with multiple and complex needs</w:t>
            </w:r>
            <w:r w:rsidR="000513F8">
              <w:rPr>
                <w:noProof/>
                <w:webHidden/>
              </w:rPr>
              <w:tab/>
            </w:r>
            <w:r w:rsidR="000513F8">
              <w:rPr>
                <w:noProof/>
                <w:webHidden/>
              </w:rPr>
              <w:fldChar w:fldCharType="begin"/>
            </w:r>
            <w:r w:rsidR="000513F8">
              <w:rPr>
                <w:noProof/>
                <w:webHidden/>
              </w:rPr>
              <w:instrText xml:space="preserve"> PAGEREF _Toc90455708 \h </w:instrText>
            </w:r>
            <w:r w:rsidR="000513F8">
              <w:rPr>
                <w:noProof/>
                <w:webHidden/>
              </w:rPr>
            </w:r>
            <w:r w:rsidR="000513F8">
              <w:rPr>
                <w:noProof/>
                <w:webHidden/>
              </w:rPr>
              <w:fldChar w:fldCharType="separate"/>
            </w:r>
            <w:r w:rsidR="008357C6">
              <w:rPr>
                <w:noProof/>
                <w:webHidden/>
              </w:rPr>
              <w:t>1</w:t>
            </w:r>
            <w:r w:rsidR="000513F8">
              <w:rPr>
                <w:noProof/>
                <w:webHidden/>
              </w:rPr>
              <w:fldChar w:fldCharType="end"/>
            </w:r>
          </w:hyperlink>
        </w:p>
        <w:p w14:paraId="10238748" w14:textId="069C0234" w:rsidR="000513F8" w:rsidRDefault="00CC520B">
          <w:pPr>
            <w:pStyle w:val="TOC1"/>
            <w:tabs>
              <w:tab w:val="right" w:leader="dot" w:pos="9016"/>
            </w:tabs>
            <w:rPr>
              <w:rFonts w:asciiTheme="minorHAnsi" w:eastAsiaTheme="minorEastAsia" w:hAnsiTheme="minorHAnsi"/>
              <w:noProof/>
              <w:sz w:val="22"/>
              <w:szCs w:val="22"/>
              <w:lang w:eastAsia="en-GB"/>
            </w:rPr>
          </w:pPr>
          <w:hyperlink w:anchor="_Toc90455709" w:history="1">
            <w:r w:rsidR="000513F8" w:rsidRPr="008F2A24">
              <w:rPr>
                <w:rStyle w:val="Hyperlink"/>
                <w:noProof/>
                <w:lang w:eastAsia="en-GB"/>
              </w:rPr>
              <w:t>Guidance for positive practice</w:t>
            </w:r>
            <w:r w:rsidR="000513F8">
              <w:rPr>
                <w:noProof/>
                <w:webHidden/>
              </w:rPr>
              <w:tab/>
            </w:r>
            <w:r w:rsidR="000513F8">
              <w:rPr>
                <w:noProof/>
                <w:webHidden/>
              </w:rPr>
              <w:fldChar w:fldCharType="begin"/>
            </w:r>
            <w:r w:rsidR="000513F8">
              <w:rPr>
                <w:noProof/>
                <w:webHidden/>
              </w:rPr>
              <w:instrText xml:space="preserve"> PAGEREF _Toc90455709 \h </w:instrText>
            </w:r>
            <w:r w:rsidR="000513F8">
              <w:rPr>
                <w:noProof/>
                <w:webHidden/>
              </w:rPr>
            </w:r>
            <w:r w:rsidR="000513F8">
              <w:rPr>
                <w:noProof/>
                <w:webHidden/>
              </w:rPr>
              <w:fldChar w:fldCharType="separate"/>
            </w:r>
            <w:r w:rsidR="008357C6">
              <w:rPr>
                <w:noProof/>
                <w:webHidden/>
              </w:rPr>
              <w:t>1</w:t>
            </w:r>
            <w:r w:rsidR="000513F8">
              <w:rPr>
                <w:noProof/>
                <w:webHidden/>
              </w:rPr>
              <w:fldChar w:fldCharType="end"/>
            </w:r>
          </w:hyperlink>
        </w:p>
        <w:p w14:paraId="3E099C6A" w14:textId="56224FD7" w:rsidR="000513F8" w:rsidRDefault="00CC520B">
          <w:pPr>
            <w:pStyle w:val="TOC1"/>
            <w:tabs>
              <w:tab w:val="right" w:leader="dot" w:pos="9016"/>
            </w:tabs>
            <w:rPr>
              <w:rFonts w:asciiTheme="minorHAnsi" w:eastAsiaTheme="minorEastAsia" w:hAnsiTheme="minorHAnsi"/>
              <w:noProof/>
              <w:sz w:val="22"/>
              <w:szCs w:val="22"/>
              <w:lang w:eastAsia="en-GB"/>
            </w:rPr>
          </w:pPr>
          <w:hyperlink w:anchor="_Toc90455710" w:history="1">
            <w:r w:rsidR="000513F8" w:rsidRPr="008F2A24">
              <w:rPr>
                <w:rStyle w:val="Hyperlink"/>
                <w:noProof/>
              </w:rPr>
              <w:t>Introduction</w:t>
            </w:r>
            <w:r w:rsidR="000513F8">
              <w:rPr>
                <w:noProof/>
                <w:webHidden/>
              </w:rPr>
              <w:tab/>
            </w:r>
            <w:r w:rsidR="000513F8">
              <w:rPr>
                <w:noProof/>
                <w:webHidden/>
              </w:rPr>
              <w:fldChar w:fldCharType="begin"/>
            </w:r>
            <w:r w:rsidR="000513F8">
              <w:rPr>
                <w:noProof/>
                <w:webHidden/>
              </w:rPr>
              <w:instrText xml:space="preserve"> PAGEREF _Toc90455710 \h </w:instrText>
            </w:r>
            <w:r w:rsidR="000513F8">
              <w:rPr>
                <w:noProof/>
                <w:webHidden/>
              </w:rPr>
            </w:r>
            <w:r w:rsidR="000513F8">
              <w:rPr>
                <w:noProof/>
                <w:webHidden/>
              </w:rPr>
              <w:fldChar w:fldCharType="separate"/>
            </w:r>
            <w:r w:rsidR="008357C6">
              <w:rPr>
                <w:noProof/>
                <w:webHidden/>
              </w:rPr>
              <w:t>1</w:t>
            </w:r>
            <w:r w:rsidR="000513F8">
              <w:rPr>
                <w:noProof/>
                <w:webHidden/>
              </w:rPr>
              <w:fldChar w:fldCharType="end"/>
            </w:r>
          </w:hyperlink>
        </w:p>
        <w:p w14:paraId="11C25E62" w14:textId="1552DBCF" w:rsidR="000513F8" w:rsidRDefault="00CC520B">
          <w:pPr>
            <w:pStyle w:val="TOC1"/>
            <w:tabs>
              <w:tab w:val="right" w:leader="dot" w:pos="9016"/>
            </w:tabs>
            <w:rPr>
              <w:rFonts w:asciiTheme="minorHAnsi" w:eastAsiaTheme="minorEastAsia" w:hAnsiTheme="minorHAnsi"/>
              <w:noProof/>
              <w:sz w:val="22"/>
              <w:szCs w:val="22"/>
              <w:lang w:eastAsia="en-GB"/>
            </w:rPr>
          </w:pPr>
          <w:hyperlink w:anchor="_Toc90455711" w:history="1">
            <w:r w:rsidR="000513F8" w:rsidRPr="008F2A24">
              <w:rPr>
                <w:rStyle w:val="Hyperlink"/>
                <w:noProof/>
              </w:rPr>
              <w:t>Purpose of the guidance</w:t>
            </w:r>
            <w:r w:rsidR="000513F8">
              <w:rPr>
                <w:noProof/>
                <w:webHidden/>
              </w:rPr>
              <w:tab/>
            </w:r>
            <w:r w:rsidR="000513F8">
              <w:rPr>
                <w:noProof/>
                <w:webHidden/>
              </w:rPr>
              <w:fldChar w:fldCharType="begin"/>
            </w:r>
            <w:r w:rsidR="000513F8">
              <w:rPr>
                <w:noProof/>
                <w:webHidden/>
              </w:rPr>
              <w:instrText xml:space="preserve"> PAGEREF _Toc90455711 \h </w:instrText>
            </w:r>
            <w:r w:rsidR="000513F8">
              <w:rPr>
                <w:noProof/>
                <w:webHidden/>
              </w:rPr>
            </w:r>
            <w:r w:rsidR="000513F8">
              <w:rPr>
                <w:noProof/>
                <w:webHidden/>
              </w:rPr>
              <w:fldChar w:fldCharType="separate"/>
            </w:r>
            <w:r w:rsidR="008357C6">
              <w:rPr>
                <w:noProof/>
                <w:webHidden/>
              </w:rPr>
              <w:t>1</w:t>
            </w:r>
            <w:r w:rsidR="000513F8">
              <w:rPr>
                <w:noProof/>
                <w:webHidden/>
              </w:rPr>
              <w:fldChar w:fldCharType="end"/>
            </w:r>
          </w:hyperlink>
        </w:p>
        <w:p w14:paraId="68ABA134" w14:textId="45DC0C1B" w:rsidR="000513F8" w:rsidRDefault="00CC520B">
          <w:pPr>
            <w:pStyle w:val="TOC1"/>
            <w:tabs>
              <w:tab w:val="right" w:leader="dot" w:pos="9016"/>
            </w:tabs>
            <w:rPr>
              <w:rFonts w:asciiTheme="minorHAnsi" w:eastAsiaTheme="minorEastAsia" w:hAnsiTheme="minorHAnsi"/>
              <w:noProof/>
              <w:sz w:val="22"/>
              <w:szCs w:val="22"/>
              <w:lang w:eastAsia="en-GB"/>
            </w:rPr>
          </w:pPr>
          <w:hyperlink w:anchor="_Toc90455712" w:history="1">
            <w:r w:rsidR="000513F8" w:rsidRPr="008F2A24">
              <w:rPr>
                <w:rStyle w:val="Hyperlink"/>
                <w:noProof/>
              </w:rPr>
              <w:t>Identifying Multiple and Complex Needs</w:t>
            </w:r>
            <w:r w:rsidR="000513F8">
              <w:rPr>
                <w:noProof/>
                <w:webHidden/>
              </w:rPr>
              <w:tab/>
            </w:r>
            <w:r w:rsidR="000513F8">
              <w:rPr>
                <w:noProof/>
                <w:webHidden/>
              </w:rPr>
              <w:fldChar w:fldCharType="begin"/>
            </w:r>
            <w:r w:rsidR="000513F8">
              <w:rPr>
                <w:noProof/>
                <w:webHidden/>
              </w:rPr>
              <w:instrText xml:space="preserve"> PAGEREF _Toc90455712 \h </w:instrText>
            </w:r>
            <w:r w:rsidR="000513F8">
              <w:rPr>
                <w:noProof/>
                <w:webHidden/>
              </w:rPr>
            </w:r>
            <w:r w:rsidR="000513F8">
              <w:rPr>
                <w:noProof/>
                <w:webHidden/>
              </w:rPr>
              <w:fldChar w:fldCharType="separate"/>
            </w:r>
            <w:r w:rsidR="008357C6">
              <w:rPr>
                <w:noProof/>
                <w:webHidden/>
              </w:rPr>
              <w:t>2</w:t>
            </w:r>
            <w:r w:rsidR="000513F8">
              <w:rPr>
                <w:noProof/>
                <w:webHidden/>
              </w:rPr>
              <w:fldChar w:fldCharType="end"/>
            </w:r>
          </w:hyperlink>
        </w:p>
        <w:p w14:paraId="1B542C4C" w14:textId="35B185ED" w:rsidR="000513F8" w:rsidRDefault="00CC520B">
          <w:pPr>
            <w:pStyle w:val="TOC1"/>
            <w:tabs>
              <w:tab w:val="right" w:leader="dot" w:pos="9016"/>
            </w:tabs>
            <w:rPr>
              <w:rFonts w:asciiTheme="minorHAnsi" w:eastAsiaTheme="minorEastAsia" w:hAnsiTheme="minorHAnsi"/>
              <w:noProof/>
              <w:sz w:val="22"/>
              <w:szCs w:val="22"/>
              <w:lang w:eastAsia="en-GB"/>
            </w:rPr>
          </w:pPr>
          <w:hyperlink w:anchor="_Toc90455713" w:history="1">
            <w:r w:rsidR="000513F8" w:rsidRPr="008F2A24">
              <w:rPr>
                <w:rStyle w:val="Hyperlink"/>
                <w:noProof/>
              </w:rPr>
              <w:t>Assessing and supporting individuals</w:t>
            </w:r>
            <w:r w:rsidR="000513F8">
              <w:rPr>
                <w:noProof/>
                <w:webHidden/>
              </w:rPr>
              <w:tab/>
            </w:r>
            <w:r w:rsidR="000513F8">
              <w:rPr>
                <w:noProof/>
                <w:webHidden/>
              </w:rPr>
              <w:fldChar w:fldCharType="begin"/>
            </w:r>
            <w:r w:rsidR="000513F8">
              <w:rPr>
                <w:noProof/>
                <w:webHidden/>
              </w:rPr>
              <w:instrText xml:space="preserve"> PAGEREF _Toc90455713 \h </w:instrText>
            </w:r>
            <w:r w:rsidR="000513F8">
              <w:rPr>
                <w:noProof/>
                <w:webHidden/>
              </w:rPr>
            </w:r>
            <w:r w:rsidR="000513F8">
              <w:rPr>
                <w:noProof/>
                <w:webHidden/>
              </w:rPr>
              <w:fldChar w:fldCharType="separate"/>
            </w:r>
            <w:r w:rsidR="008357C6">
              <w:rPr>
                <w:noProof/>
                <w:webHidden/>
              </w:rPr>
              <w:t>3</w:t>
            </w:r>
            <w:r w:rsidR="000513F8">
              <w:rPr>
                <w:noProof/>
                <w:webHidden/>
              </w:rPr>
              <w:fldChar w:fldCharType="end"/>
            </w:r>
          </w:hyperlink>
        </w:p>
        <w:p w14:paraId="07342260" w14:textId="1915220A" w:rsidR="000513F8" w:rsidRDefault="00CC520B">
          <w:pPr>
            <w:pStyle w:val="TOC2"/>
            <w:rPr>
              <w:rFonts w:asciiTheme="minorHAnsi" w:eastAsiaTheme="minorEastAsia" w:hAnsiTheme="minorHAnsi"/>
              <w:noProof/>
              <w:sz w:val="22"/>
              <w:szCs w:val="22"/>
              <w:lang w:eastAsia="en-GB"/>
            </w:rPr>
          </w:pPr>
          <w:hyperlink w:anchor="_Toc90455714" w:history="1">
            <w:r w:rsidR="000513F8" w:rsidRPr="008F2A24">
              <w:rPr>
                <w:rStyle w:val="Hyperlink"/>
                <w:noProof/>
              </w:rPr>
              <w:t>Person-centred approach</w:t>
            </w:r>
            <w:r w:rsidR="000513F8">
              <w:rPr>
                <w:noProof/>
                <w:webHidden/>
              </w:rPr>
              <w:tab/>
            </w:r>
            <w:r w:rsidR="000513F8">
              <w:rPr>
                <w:noProof/>
                <w:webHidden/>
              </w:rPr>
              <w:fldChar w:fldCharType="begin"/>
            </w:r>
            <w:r w:rsidR="000513F8">
              <w:rPr>
                <w:noProof/>
                <w:webHidden/>
              </w:rPr>
              <w:instrText xml:space="preserve"> PAGEREF _Toc90455714 \h </w:instrText>
            </w:r>
            <w:r w:rsidR="000513F8">
              <w:rPr>
                <w:noProof/>
                <w:webHidden/>
              </w:rPr>
            </w:r>
            <w:r w:rsidR="000513F8">
              <w:rPr>
                <w:noProof/>
                <w:webHidden/>
              </w:rPr>
              <w:fldChar w:fldCharType="separate"/>
            </w:r>
            <w:r w:rsidR="008357C6">
              <w:rPr>
                <w:noProof/>
                <w:webHidden/>
              </w:rPr>
              <w:t>3</w:t>
            </w:r>
            <w:r w:rsidR="000513F8">
              <w:rPr>
                <w:noProof/>
                <w:webHidden/>
              </w:rPr>
              <w:fldChar w:fldCharType="end"/>
            </w:r>
          </w:hyperlink>
        </w:p>
        <w:p w14:paraId="76176A47" w14:textId="35B3AEE1" w:rsidR="000513F8" w:rsidRDefault="00CC520B">
          <w:pPr>
            <w:pStyle w:val="TOC2"/>
            <w:rPr>
              <w:rFonts w:asciiTheme="minorHAnsi" w:eastAsiaTheme="minorEastAsia" w:hAnsiTheme="minorHAnsi"/>
              <w:noProof/>
              <w:sz w:val="22"/>
              <w:szCs w:val="22"/>
              <w:lang w:eastAsia="en-GB"/>
            </w:rPr>
          </w:pPr>
          <w:hyperlink w:anchor="_Toc90455715" w:history="1">
            <w:r w:rsidR="000513F8" w:rsidRPr="008F2A24">
              <w:rPr>
                <w:rStyle w:val="Hyperlink"/>
                <w:noProof/>
              </w:rPr>
              <w:t>Professional curiosity</w:t>
            </w:r>
            <w:r w:rsidR="000513F8">
              <w:rPr>
                <w:noProof/>
                <w:webHidden/>
              </w:rPr>
              <w:tab/>
            </w:r>
            <w:r w:rsidR="000513F8">
              <w:rPr>
                <w:noProof/>
                <w:webHidden/>
              </w:rPr>
              <w:fldChar w:fldCharType="begin"/>
            </w:r>
            <w:r w:rsidR="000513F8">
              <w:rPr>
                <w:noProof/>
                <w:webHidden/>
              </w:rPr>
              <w:instrText xml:space="preserve"> PAGEREF _Toc90455715 \h </w:instrText>
            </w:r>
            <w:r w:rsidR="000513F8">
              <w:rPr>
                <w:noProof/>
                <w:webHidden/>
              </w:rPr>
            </w:r>
            <w:r w:rsidR="000513F8">
              <w:rPr>
                <w:noProof/>
                <w:webHidden/>
              </w:rPr>
              <w:fldChar w:fldCharType="separate"/>
            </w:r>
            <w:r w:rsidR="008357C6">
              <w:rPr>
                <w:noProof/>
                <w:webHidden/>
              </w:rPr>
              <w:t>4</w:t>
            </w:r>
            <w:r w:rsidR="000513F8">
              <w:rPr>
                <w:noProof/>
                <w:webHidden/>
              </w:rPr>
              <w:fldChar w:fldCharType="end"/>
            </w:r>
          </w:hyperlink>
        </w:p>
        <w:p w14:paraId="7B5528D7" w14:textId="0496B30D" w:rsidR="000513F8" w:rsidRDefault="00CC520B">
          <w:pPr>
            <w:pStyle w:val="TOC2"/>
            <w:rPr>
              <w:rFonts w:asciiTheme="minorHAnsi" w:eastAsiaTheme="minorEastAsia" w:hAnsiTheme="minorHAnsi"/>
              <w:noProof/>
              <w:sz w:val="22"/>
              <w:szCs w:val="22"/>
              <w:lang w:eastAsia="en-GB"/>
            </w:rPr>
          </w:pPr>
          <w:hyperlink w:anchor="_Toc90455716" w:history="1">
            <w:r w:rsidR="000513F8" w:rsidRPr="008F2A24">
              <w:rPr>
                <w:rStyle w:val="Hyperlink"/>
                <w:noProof/>
              </w:rPr>
              <w:t>Exploring trauma and adverse experiences</w:t>
            </w:r>
            <w:r w:rsidR="000513F8">
              <w:rPr>
                <w:noProof/>
                <w:webHidden/>
              </w:rPr>
              <w:tab/>
            </w:r>
            <w:r w:rsidR="000513F8">
              <w:rPr>
                <w:noProof/>
                <w:webHidden/>
              </w:rPr>
              <w:fldChar w:fldCharType="begin"/>
            </w:r>
            <w:r w:rsidR="000513F8">
              <w:rPr>
                <w:noProof/>
                <w:webHidden/>
              </w:rPr>
              <w:instrText xml:space="preserve"> PAGEREF _Toc90455716 \h </w:instrText>
            </w:r>
            <w:r w:rsidR="000513F8">
              <w:rPr>
                <w:noProof/>
                <w:webHidden/>
              </w:rPr>
            </w:r>
            <w:r w:rsidR="000513F8">
              <w:rPr>
                <w:noProof/>
                <w:webHidden/>
              </w:rPr>
              <w:fldChar w:fldCharType="separate"/>
            </w:r>
            <w:r w:rsidR="008357C6">
              <w:rPr>
                <w:noProof/>
                <w:webHidden/>
              </w:rPr>
              <w:t>4</w:t>
            </w:r>
            <w:r w:rsidR="000513F8">
              <w:rPr>
                <w:noProof/>
                <w:webHidden/>
              </w:rPr>
              <w:fldChar w:fldCharType="end"/>
            </w:r>
          </w:hyperlink>
        </w:p>
        <w:p w14:paraId="0D0CB479" w14:textId="03E661D3" w:rsidR="000513F8" w:rsidRDefault="00CC520B">
          <w:pPr>
            <w:pStyle w:val="TOC2"/>
            <w:rPr>
              <w:rFonts w:asciiTheme="minorHAnsi" w:eastAsiaTheme="minorEastAsia" w:hAnsiTheme="minorHAnsi"/>
              <w:noProof/>
              <w:sz w:val="22"/>
              <w:szCs w:val="22"/>
              <w:lang w:eastAsia="en-GB"/>
            </w:rPr>
          </w:pPr>
          <w:hyperlink w:anchor="_Toc90455717" w:history="1">
            <w:r w:rsidR="000513F8" w:rsidRPr="008F2A24">
              <w:rPr>
                <w:rStyle w:val="Hyperlink"/>
                <w:noProof/>
              </w:rPr>
              <w:t>Exploring non-engagement</w:t>
            </w:r>
            <w:r w:rsidR="000513F8">
              <w:rPr>
                <w:noProof/>
                <w:webHidden/>
              </w:rPr>
              <w:tab/>
            </w:r>
            <w:r w:rsidR="000513F8">
              <w:rPr>
                <w:noProof/>
                <w:webHidden/>
              </w:rPr>
              <w:fldChar w:fldCharType="begin"/>
            </w:r>
            <w:r w:rsidR="000513F8">
              <w:rPr>
                <w:noProof/>
                <w:webHidden/>
              </w:rPr>
              <w:instrText xml:space="preserve"> PAGEREF _Toc90455717 \h </w:instrText>
            </w:r>
            <w:r w:rsidR="000513F8">
              <w:rPr>
                <w:noProof/>
                <w:webHidden/>
              </w:rPr>
            </w:r>
            <w:r w:rsidR="000513F8">
              <w:rPr>
                <w:noProof/>
                <w:webHidden/>
              </w:rPr>
              <w:fldChar w:fldCharType="separate"/>
            </w:r>
            <w:r w:rsidR="008357C6">
              <w:rPr>
                <w:noProof/>
                <w:webHidden/>
              </w:rPr>
              <w:t>4</w:t>
            </w:r>
            <w:r w:rsidR="000513F8">
              <w:rPr>
                <w:noProof/>
                <w:webHidden/>
              </w:rPr>
              <w:fldChar w:fldCharType="end"/>
            </w:r>
          </w:hyperlink>
        </w:p>
        <w:p w14:paraId="3B743CE1" w14:textId="15775867" w:rsidR="000513F8" w:rsidRDefault="00CC520B">
          <w:pPr>
            <w:pStyle w:val="TOC2"/>
            <w:rPr>
              <w:rFonts w:asciiTheme="minorHAnsi" w:eastAsiaTheme="minorEastAsia" w:hAnsiTheme="minorHAnsi"/>
              <w:noProof/>
              <w:sz w:val="22"/>
              <w:szCs w:val="22"/>
              <w:lang w:eastAsia="en-GB"/>
            </w:rPr>
          </w:pPr>
          <w:hyperlink w:anchor="_Toc90455718" w:history="1">
            <w:r w:rsidR="000513F8" w:rsidRPr="008F2A24">
              <w:rPr>
                <w:rStyle w:val="Hyperlink"/>
                <w:noProof/>
              </w:rPr>
              <w:t>Risk assessments</w:t>
            </w:r>
            <w:r w:rsidR="000513F8">
              <w:rPr>
                <w:noProof/>
                <w:webHidden/>
              </w:rPr>
              <w:tab/>
            </w:r>
            <w:r w:rsidR="000513F8">
              <w:rPr>
                <w:noProof/>
                <w:webHidden/>
              </w:rPr>
              <w:fldChar w:fldCharType="begin"/>
            </w:r>
            <w:r w:rsidR="000513F8">
              <w:rPr>
                <w:noProof/>
                <w:webHidden/>
              </w:rPr>
              <w:instrText xml:space="preserve"> PAGEREF _Toc90455718 \h </w:instrText>
            </w:r>
            <w:r w:rsidR="000513F8">
              <w:rPr>
                <w:noProof/>
                <w:webHidden/>
              </w:rPr>
            </w:r>
            <w:r w:rsidR="000513F8">
              <w:rPr>
                <w:noProof/>
                <w:webHidden/>
              </w:rPr>
              <w:fldChar w:fldCharType="separate"/>
            </w:r>
            <w:r w:rsidR="008357C6">
              <w:rPr>
                <w:noProof/>
                <w:webHidden/>
              </w:rPr>
              <w:t>5</w:t>
            </w:r>
            <w:r w:rsidR="000513F8">
              <w:rPr>
                <w:noProof/>
                <w:webHidden/>
              </w:rPr>
              <w:fldChar w:fldCharType="end"/>
            </w:r>
          </w:hyperlink>
        </w:p>
        <w:p w14:paraId="7550630B" w14:textId="3F451EB1" w:rsidR="000513F8" w:rsidRDefault="00CC520B">
          <w:pPr>
            <w:pStyle w:val="TOC2"/>
            <w:rPr>
              <w:rFonts w:asciiTheme="minorHAnsi" w:eastAsiaTheme="minorEastAsia" w:hAnsiTheme="minorHAnsi"/>
              <w:noProof/>
              <w:sz w:val="22"/>
              <w:szCs w:val="22"/>
              <w:lang w:eastAsia="en-GB"/>
            </w:rPr>
          </w:pPr>
          <w:hyperlink w:anchor="_Toc90455719" w:history="1">
            <w:r w:rsidR="000513F8" w:rsidRPr="008F2A24">
              <w:rPr>
                <w:rStyle w:val="Hyperlink"/>
                <w:noProof/>
              </w:rPr>
              <w:t>Mental capacity assessments</w:t>
            </w:r>
            <w:r w:rsidR="000513F8">
              <w:rPr>
                <w:noProof/>
                <w:webHidden/>
              </w:rPr>
              <w:tab/>
            </w:r>
            <w:r w:rsidR="000513F8">
              <w:rPr>
                <w:noProof/>
                <w:webHidden/>
              </w:rPr>
              <w:fldChar w:fldCharType="begin"/>
            </w:r>
            <w:r w:rsidR="000513F8">
              <w:rPr>
                <w:noProof/>
                <w:webHidden/>
              </w:rPr>
              <w:instrText xml:space="preserve"> PAGEREF _Toc90455719 \h </w:instrText>
            </w:r>
            <w:r w:rsidR="000513F8">
              <w:rPr>
                <w:noProof/>
                <w:webHidden/>
              </w:rPr>
            </w:r>
            <w:r w:rsidR="000513F8">
              <w:rPr>
                <w:noProof/>
                <w:webHidden/>
              </w:rPr>
              <w:fldChar w:fldCharType="separate"/>
            </w:r>
            <w:r w:rsidR="008357C6">
              <w:rPr>
                <w:noProof/>
                <w:webHidden/>
              </w:rPr>
              <w:t>5</w:t>
            </w:r>
            <w:r w:rsidR="000513F8">
              <w:rPr>
                <w:noProof/>
                <w:webHidden/>
              </w:rPr>
              <w:fldChar w:fldCharType="end"/>
            </w:r>
          </w:hyperlink>
        </w:p>
        <w:p w14:paraId="27F49F00" w14:textId="67EADAA9" w:rsidR="000513F8" w:rsidRDefault="00CC520B">
          <w:pPr>
            <w:pStyle w:val="TOC2"/>
            <w:rPr>
              <w:rFonts w:asciiTheme="minorHAnsi" w:eastAsiaTheme="minorEastAsia" w:hAnsiTheme="minorHAnsi"/>
              <w:noProof/>
              <w:sz w:val="22"/>
              <w:szCs w:val="22"/>
              <w:lang w:eastAsia="en-GB"/>
            </w:rPr>
          </w:pPr>
          <w:hyperlink w:anchor="_Toc90455720" w:history="1">
            <w:r w:rsidR="000513F8" w:rsidRPr="008F2A24">
              <w:rPr>
                <w:rStyle w:val="Hyperlink"/>
                <w:noProof/>
              </w:rPr>
              <w:t>Team around the person</w:t>
            </w:r>
            <w:r w:rsidR="000513F8">
              <w:rPr>
                <w:noProof/>
                <w:webHidden/>
              </w:rPr>
              <w:tab/>
            </w:r>
            <w:r w:rsidR="000513F8">
              <w:rPr>
                <w:noProof/>
                <w:webHidden/>
              </w:rPr>
              <w:fldChar w:fldCharType="begin"/>
            </w:r>
            <w:r w:rsidR="000513F8">
              <w:rPr>
                <w:noProof/>
                <w:webHidden/>
              </w:rPr>
              <w:instrText xml:space="preserve"> PAGEREF _Toc90455720 \h </w:instrText>
            </w:r>
            <w:r w:rsidR="000513F8">
              <w:rPr>
                <w:noProof/>
                <w:webHidden/>
              </w:rPr>
            </w:r>
            <w:r w:rsidR="000513F8">
              <w:rPr>
                <w:noProof/>
                <w:webHidden/>
              </w:rPr>
              <w:fldChar w:fldCharType="separate"/>
            </w:r>
            <w:r w:rsidR="008357C6">
              <w:rPr>
                <w:noProof/>
                <w:webHidden/>
              </w:rPr>
              <w:t>8</w:t>
            </w:r>
            <w:r w:rsidR="000513F8">
              <w:rPr>
                <w:noProof/>
                <w:webHidden/>
              </w:rPr>
              <w:fldChar w:fldCharType="end"/>
            </w:r>
          </w:hyperlink>
        </w:p>
        <w:p w14:paraId="6E847C2B" w14:textId="467A2A1E" w:rsidR="000513F8" w:rsidRDefault="00CC520B">
          <w:pPr>
            <w:pStyle w:val="TOC1"/>
            <w:tabs>
              <w:tab w:val="right" w:leader="dot" w:pos="9016"/>
            </w:tabs>
            <w:rPr>
              <w:rFonts w:asciiTheme="minorHAnsi" w:eastAsiaTheme="minorEastAsia" w:hAnsiTheme="minorHAnsi"/>
              <w:noProof/>
              <w:sz w:val="22"/>
              <w:szCs w:val="22"/>
              <w:lang w:eastAsia="en-GB"/>
            </w:rPr>
          </w:pPr>
          <w:hyperlink w:anchor="_Toc90455721" w:history="1">
            <w:r w:rsidR="000513F8" w:rsidRPr="008F2A24">
              <w:rPr>
                <w:rStyle w:val="Hyperlink"/>
                <w:noProof/>
              </w:rPr>
              <w:t>Summary</w:t>
            </w:r>
            <w:r w:rsidR="000513F8">
              <w:rPr>
                <w:noProof/>
                <w:webHidden/>
              </w:rPr>
              <w:tab/>
            </w:r>
            <w:r w:rsidR="000513F8">
              <w:rPr>
                <w:noProof/>
                <w:webHidden/>
              </w:rPr>
              <w:fldChar w:fldCharType="begin"/>
            </w:r>
            <w:r w:rsidR="000513F8">
              <w:rPr>
                <w:noProof/>
                <w:webHidden/>
              </w:rPr>
              <w:instrText xml:space="preserve"> PAGEREF _Toc90455721 \h </w:instrText>
            </w:r>
            <w:r w:rsidR="000513F8">
              <w:rPr>
                <w:noProof/>
                <w:webHidden/>
              </w:rPr>
            </w:r>
            <w:r w:rsidR="000513F8">
              <w:rPr>
                <w:noProof/>
                <w:webHidden/>
              </w:rPr>
              <w:fldChar w:fldCharType="separate"/>
            </w:r>
            <w:r w:rsidR="008357C6">
              <w:rPr>
                <w:noProof/>
                <w:webHidden/>
              </w:rPr>
              <w:t>9</w:t>
            </w:r>
            <w:r w:rsidR="000513F8">
              <w:rPr>
                <w:noProof/>
                <w:webHidden/>
              </w:rPr>
              <w:fldChar w:fldCharType="end"/>
            </w:r>
          </w:hyperlink>
        </w:p>
        <w:p w14:paraId="6B9C6E29" w14:textId="632AB709" w:rsidR="000513F8" w:rsidRDefault="00CC520B">
          <w:pPr>
            <w:pStyle w:val="TOC1"/>
            <w:tabs>
              <w:tab w:val="right" w:leader="dot" w:pos="9016"/>
            </w:tabs>
            <w:rPr>
              <w:rFonts w:asciiTheme="minorHAnsi" w:eastAsiaTheme="minorEastAsia" w:hAnsiTheme="minorHAnsi"/>
              <w:noProof/>
              <w:sz w:val="22"/>
              <w:szCs w:val="22"/>
              <w:lang w:eastAsia="en-GB"/>
            </w:rPr>
          </w:pPr>
          <w:hyperlink w:anchor="_Toc90455722" w:history="1">
            <w:r w:rsidR="000513F8" w:rsidRPr="008F2A24">
              <w:rPr>
                <w:rStyle w:val="Hyperlink"/>
                <w:noProof/>
              </w:rPr>
              <w:t>Acknowledgments</w:t>
            </w:r>
            <w:r w:rsidR="000513F8">
              <w:rPr>
                <w:noProof/>
                <w:webHidden/>
              </w:rPr>
              <w:tab/>
            </w:r>
            <w:r w:rsidR="000513F8">
              <w:rPr>
                <w:noProof/>
                <w:webHidden/>
              </w:rPr>
              <w:fldChar w:fldCharType="begin"/>
            </w:r>
            <w:r w:rsidR="000513F8">
              <w:rPr>
                <w:noProof/>
                <w:webHidden/>
              </w:rPr>
              <w:instrText xml:space="preserve"> PAGEREF _Toc90455722 \h </w:instrText>
            </w:r>
            <w:r w:rsidR="000513F8">
              <w:rPr>
                <w:noProof/>
                <w:webHidden/>
              </w:rPr>
            </w:r>
            <w:r w:rsidR="000513F8">
              <w:rPr>
                <w:noProof/>
                <w:webHidden/>
              </w:rPr>
              <w:fldChar w:fldCharType="separate"/>
            </w:r>
            <w:r w:rsidR="008357C6">
              <w:rPr>
                <w:noProof/>
                <w:webHidden/>
              </w:rPr>
              <w:t>9</w:t>
            </w:r>
            <w:r w:rsidR="000513F8">
              <w:rPr>
                <w:noProof/>
                <w:webHidden/>
              </w:rPr>
              <w:fldChar w:fldCharType="end"/>
            </w:r>
          </w:hyperlink>
        </w:p>
        <w:p w14:paraId="7D6752BD" w14:textId="6B3B1480" w:rsidR="00DE3650" w:rsidRDefault="00DE3650">
          <w:r>
            <w:rPr>
              <w:b/>
              <w:bCs/>
              <w:noProof/>
            </w:rPr>
            <w:fldChar w:fldCharType="end"/>
          </w:r>
        </w:p>
      </w:sdtContent>
    </w:sdt>
    <w:p w14:paraId="16F639BF" w14:textId="77777777" w:rsidR="00672317" w:rsidRDefault="00672317" w:rsidP="00E9744D">
      <w:pPr>
        <w:pStyle w:val="TOC2"/>
        <w:ind w:left="0"/>
        <w:rPr>
          <w:rFonts w:asciiTheme="minorHAnsi" w:eastAsiaTheme="minorEastAsia" w:hAnsiTheme="minorHAnsi"/>
          <w:noProof/>
          <w:sz w:val="22"/>
          <w:szCs w:val="22"/>
          <w:lang w:eastAsia="en-GB"/>
        </w:rPr>
        <w:sectPr w:rsidR="00672317" w:rsidSect="006A3A42">
          <w:footerReference w:type="first" r:id="rId13"/>
          <w:pgSz w:w="11906" w:h="16838"/>
          <w:pgMar w:top="1440" w:right="1440" w:bottom="1440" w:left="1440" w:header="709" w:footer="709" w:gutter="0"/>
          <w:cols w:space="708"/>
          <w:titlePg/>
          <w:docGrid w:linePitch="360"/>
        </w:sectPr>
      </w:pPr>
    </w:p>
    <w:p w14:paraId="54A87F49" w14:textId="77777777" w:rsidR="00B14A6D" w:rsidRPr="00330277" w:rsidRDefault="00B14A6D" w:rsidP="00DE3650">
      <w:pPr>
        <w:pStyle w:val="Heading1"/>
      </w:pPr>
      <w:bookmarkStart w:id="3" w:name="_Toc88473252"/>
      <w:bookmarkStart w:id="4" w:name="_Toc90455710"/>
      <w:r w:rsidRPr="00330277">
        <w:lastRenderedPageBreak/>
        <w:t>Introduction</w:t>
      </w:r>
      <w:bookmarkEnd w:id="3"/>
      <w:bookmarkEnd w:id="4"/>
      <w:r w:rsidRPr="00330277">
        <w:t xml:space="preserve">  </w:t>
      </w:r>
    </w:p>
    <w:p w14:paraId="5F27F659" w14:textId="5287549D" w:rsidR="00B14A6D" w:rsidRDefault="00B14A6D" w:rsidP="003D56AD">
      <w:pPr>
        <w:pStyle w:val="BodyText"/>
      </w:pPr>
      <w:r w:rsidRPr="009B2E81">
        <w:t xml:space="preserve">This guidance was developed with partners of the East Sussex Safeguarding Adults Board (SAB) following a recommendation from the </w:t>
      </w:r>
      <w:hyperlink r:id="rId14" w:history="1">
        <w:r w:rsidRPr="000513F8">
          <w:rPr>
            <w:rStyle w:val="Hyperlink"/>
          </w:rPr>
          <w:t>Adult C Safeguarding Adult</w:t>
        </w:r>
        <w:r w:rsidR="006B5F66" w:rsidRPr="000513F8">
          <w:rPr>
            <w:rStyle w:val="Hyperlink"/>
          </w:rPr>
          <w:t>s</w:t>
        </w:r>
        <w:r w:rsidRPr="000513F8">
          <w:rPr>
            <w:rStyle w:val="Hyperlink"/>
          </w:rPr>
          <w:t xml:space="preserve"> Review</w:t>
        </w:r>
      </w:hyperlink>
      <w:r w:rsidR="006B5F66">
        <w:t xml:space="preserve"> (SAR)</w:t>
      </w:r>
      <w:r w:rsidR="000513F8">
        <w:t xml:space="preserve"> published in December 2020</w:t>
      </w:r>
      <w:r w:rsidRPr="009B2E81">
        <w:t>. It is designed to provide guidance to professionals in identifying, assessing, and supporting people with multiple and complex needs (MCN).</w:t>
      </w:r>
    </w:p>
    <w:p w14:paraId="0D082FC8" w14:textId="77777777" w:rsidR="003D56AD" w:rsidRPr="009B2E81" w:rsidRDefault="003D56AD" w:rsidP="003D56AD">
      <w:pPr>
        <w:pStyle w:val="BodyText"/>
      </w:pPr>
    </w:p>
    <w:p w14:paraId="1B22A494" w14:textId="1AF1496B" w:rsidR="00B14A6D" w:rsidRDefault="00B14A6D" w:rsidP="003D56AD">
      <w:pPr>
        <w:pStyle w:val="BodyText"/>
      </w:pPr>
      <w:r w:rsidRPr="00C31943">
        <w:t xml:space="preserve">The focus of this guidance is on outlining positive practice pending national guidelines (April 2022 from the Department of Health and Social Care and NICE) and </w:t>
      </w:r>
      <w:bookmarkStart w:id="5" w:name="_Hlk83589359"/>
      <w:r w:rsidRPr="00C31943">
        <w:t xml:space="preserve">should be read in conjunction with the </w:t>
      </w:r>
      <w:hyperlink r:id="rId15" w:history="1">
        <w:r w:rsidRPr="006B5F66">
          <w:rPr>
            <w:rStyle w:val="Hyperlink"/>
          </w:rPr>
          <w:t xml:space="preserve">Sussex </w:t>
        </w:r>
        <w:r w:rsidR="006B5F66">
          <w:rPr>
            <w:rStyle w:val="Hyperlink"/>
          </w:rPr>
          <w:t>S</w:t>
        </w:r>
        <w:r w:rsidRPr="006B5F66">
          <w:rPr>
            <w:rStyle w:val="Hyperlink"/>
          </w:rPr>
          <w:t xml:space="preserve">afeguarding </w:t>
        </w:r>
        <w:r w:rsidR="006B5F66" w:rsidRPr="006B5F66">
          <w:rPr>
            <w:rStyle w:val="Hyperlink"/>
          </w:rPr>
          <w:t>A</w:t>
        </w:r>
        <w:r w:rsidRPr="006B5F66">
          <w:rPr>
            <w:rStyle w:val="Hyperlink"/>
          </w:rPr>
          <w:t xml:space="preserve">dults </w:t>
        </w:r>
        <w:r w:rsidR="006B5F66" w:rsidRPr="006B5F66">
          <w:rPr>
            <w:rStyle w:val="Hyperlink"/>
          </w:rPr>
          <w:t>P</w:t>
        </w:r>
        <w:r w:rsidRPr="006B5F66">
          <w:rPr>
            <w:rStyle w:val="Hyperlink"/>
          </w:rPr>
          <w:t xml:space="preserve">olicy and </w:t>
        </w:r>
        <w:r w:rsidR="006B5F66" w:rsidRPr="006B5F66">
          <w:rPr>
            <w:rStyle w:val="Hyperlink"/>
          </w:rPr>
          <w:t>P</w:t>
        </w:r>
        <w:r w:rsidRPr="006B5F66">
          <w:rPr>
            <w:rStyle w:val="Hyperlink"/>
          </w:rPr>
          <w:t>rocedures</w:t>
        </w:r>
      </w:hyperlink>
      <w:r>
        <w:t xml:space="preserve"> </w:t>
      </w:r>
      <w:r w:rsidRPr="00C31943">
        <w:t xml:space="preserve">and the </w:t>
      </w:r>
      <w:hyperlink r:id="rId16" w:history="1">
        <w:r w:rsidRPr="006B5F66">
          <w:rPr>
            <w:rStyle w:val="Hyperlink"/>
          </w:rPr>
          <w:t xml:space="preserve">Sussex </w:t>
        </w:r>
        <w:r w:rsidR="006B5F66" w:rsidRPr="006B5F66">
          <w:rPr>
            <w:rStyle w:val="Hyperlink"/>
          </w:rPr>
          <w:t>I</w:t>
        </w:r>
        <w:r w:rsidRPr="006B5F66">
          <w:rPr>
            <w:rStyle w:val="Hyperlink"/>
          </w:rPr>
          <w:t xml:space="preserve">nformation </w:t>
        </w:r>
        <w:r w:rsidR="006B5F66" w:rsidRPr="006B5F66">
          <w:rPr>
            <w:rStyle w:val="Hyperlink"/>
          </w:rPr>
          <w:t>S</w:t>
        </w:r>
        <w:r w:rsidRPr="006B5F66">
          <w:rPr>
            <w:rStyle w:val="Hyperlink"/>
          </w:rPr>
          <w:t xml:space="preserve">haring </w:t>
        </w:r>
        <w:r w:rsidR="006B5F66" w:rsidRPr="006B5F66">
          <w:rPr>
            <w:rStyle w:val="Hyperlink"/>
          </w:rPr>
          <w:t>G</w:t>
        </w:r>
        <w:r w:rsidRPr="006B5F66">
          <w:rPr>
            <w:rStyle w:val="Hyperlink"/>
          </w:rPr>
          <w:t xml:space="preserve">uide and </w:t>
        </w:r>
        <w:r w:rsidR="006B5F66" w:rsidRPr="006B5F66">
          <w:rPr>
            <w:rStyle w:val="Hyperlink"/>
          </w:rPr>
          <w:t>P</w:t>
        </w:r>
        <w:r w:rsidRPr="006B5F66">
          <w:rPr>
            <w:rStyle w:val="Hyperlink"/>
          </w:rPr>
          <w:t>rotocol</w:t>
        </w:r>
      </w:hyperlink>
      <w:r>
        <w:t>.</w:t>
      </w:r>
    </w:p>
    <w:p w14:paraId="0614AF07" w14:textId="77777777" w:rsidR="003D56AD" w:rsidRPr="005A0024" w:rsidRDefault="003D56AD" w:rsidP="003D56AD">
      <w:pPr>
        <w:pStyle w:val="BodyText"/>
      </w:pPr>
    </w:p>
    <w:bookmarkEnd w:id="5"/>
    <w:p w14:paraId="1B1078FE" w14:textId="474CD836" w:rsidR="00B14A6D" w:rsidRDefault="00C402CC" w:rsidP="003D56AD">
      <w:pPr>
        <w:pStyle w:val="BodyText"/>
      </w:pPr>
      <w:r>
        <w:t xml:space="preserve">This guidance </w:t>
      </w:r>
      <w:r w:rsidR="00B14A6D" w:rsidRPr="005A0024">
        <w:t xml:space="preserve">does not replace single agency assessment, care planning and risk management </w:t>
      </w:r>
      <w:r w:rsidR="00B14A6D" w:rsidRPr="007E21DE">
        <w:t>arrangements</w:t>
      </w:r>
      <w:r>
        <w:t>.</w:t>
      </w:r>
      <w:r w:rsidR="00B14A6D" w:rsidRPr="007E21DE">
        <w:t xml:space="preserve"> </w:t>
      </w:r>
      <w:r>
        <w:t>I</w:t>
      </w:r>
      <w:r w:rsidR="00B14A6D" w:rsidRPr="007E21DE">
        <w:t>nstead</w:t>
      </w:r>
      <w:r>
        <w:t>,</w:t>
      </w:r>
      <w:r w:rsidR="00B14A6D" w:rsidRPr="007E21DE">
        <w:t xml:space="preserve"> </w:t>
      </w:r>
      <w:r>
        <w:t xml:space="preserve">it should be used to </w:t>
      </w:r>
      <w:r w:rsidR="00B14A6D" w:rsidRPr="007E21DE">
        <w:t xml:space="preserve">inform and complement </w:t>
      </w:r>
      <w:r w:rsidR="00B14A6D" w:rsidRPr="003A36CD">
        <w:t>th</w:t>
      </w:r>
      <w:r>
        <w:t xml:space="preserve">ese and support agencies’ assessments. </w:t>
      </w:r>
      <w:r w:rsidR="00B14A6D">
        <w:t xml:space="preserve"> </w:t>
      </w:r>
    </w:p>
    <w:p w14:paraId="6A0F5DB1" w14:textId="77777777" w:rsidR="003D56AD" w:rsidRPr="005A0024" w:rsidRDefault="003D56AD" w:rsidP="003D56AD">
      <w:pPr>
        <w:pStyle w:val="BodyText"/>
      </w:pPr>
    </w:p>
    <w:p w14:paraId="61FE56BA" w14:textId="5D713401" w:rsidR="00B14A6D" w:rsidRDefault="00B14A6D" w:rsidP="003D56AD">
      <w:pPr>
        <w:pStyle w:val="BodyText"/>
      </w:pPr>
      <w:r w:rsidRPr="00891D55">
        <w:t xml:space="preserve">This guidance should be viewed and applied in the context of the general provisions of the </w:t>
      </w:r>
      <w:hyperlink r:id="rId17" w:history="1">
        <w:r w:rsidRPr="00927FE6">
          <w:rPr>
            <w:rStyle w:val="Hyperlink"/>
          </w:rPr>
          <w:t>Care Act 2014</w:t>
        </w:r>
      </w:hyperlink>
      <w:r w:rsidRPr="003A36CD">
        <w:t xml:space="preserve"> which are intended to promote and secure health and wellbeing. </w:t>
      </w:r>
    </w:p>
    <w:p w14:paraId="75520F15" w14:textId="6EB07AA6" w:rsidR="00B14A6D" w:rsidRPr="007E00A8" w:rsidRDefault="00B14A6D" w:rsidP="00DE3650">
      <w:pPr>
        <w:pStyle w:val="Heading1"/>
      </w:pPr>
      <w:bookmarkStart w:id="6" w:name="_Toc88473253"/>
      <w:bookmarkStart w:id="7" w:name="_Toc90455711"/>
      <w:r w:rsidRPr="00330277">
        <w:t xml:space="preserve">Purpose of the </w:t>
      </w:r>
      <w:r w:rsidR="004A520C">
        <w:t>g</w:t>
      </w:r>
      <w:r w:rsidRPr="00330277">
        <w:t>uidance</w:t>
      </w:r>
      <w:bookmarkEnd w:id="6"/>
      <w:bookmarkEnd w:id="7"/>
    </w:p>
    <w:p w14:paraId="68199FF3" w14:textId="3DC3694D" w:rsidR="00B14A6D" w:rsidRPr="00460DF2" w:rsidRDefault="00B14A6D" w:rsidP="00F049A7">
      <w:r w:rsidRPr="00460DF2">
        <w:t xml:space="preserve">The purpose of this </w:t>
      </w:r>
      <w:r>
        <w:t>guidance</w:t>
      </w:r>
      <w:r w:rsidRPr="00460DF2">
        <w:t xml:space="preserve"> is to help people with MCN</w:t>
      </w:r>
      <w:r w:rsidR="00442A1D">
        <w:t>,</w:t>
      </w:r>
      <w:r w:rsidRPr="00460DF2">
        <w:t xml:space="preserve"> and the professionals who work with them</w:t>
      </w:r>
      <w:r w:rsidR="00442A1D">
        <w:t>,</w:t>
      </w:r>
      <w:r w:rsidRPr="00460DF2">
        <w:t xml:space="preserve"> </w:t>
      </w:r>
      <w:r w:rsidRPr="00E66F45">
        <w:t xml:space="preserve">to </w:t>
      </w:r>
      <w:r w:rsidR="003E694B" w:rsidRPr="00096873">
        <w:t xml:space="preserve">focus on the impact multiple needs </w:t>
      </w:r>
      <w:r w:rsidR="00442A1D">
        <w:t xml:space="preserve">have </w:t>
      </w:r>
      <w:r w:rsidR="003E694B" w:rsidRPr="00096873">
        <w:t xml:space="preserve">on </w:t>
      </w:r>
      <w:r w:rsidR="00442A1D">
        <w:t>a person’s</w:t>
      </w:r>
      <w:r w:rsidR="003E694B" w:rsidRPr="00096873">
        <w:t xml:space="preserve"> ability to achieve positive outcom</w:t>
      </w:r>
      <w:r w:rsidR="003E694B" w:rsidRPr="00460DF2">
        <w:t xml:space="preserve">es. </w:t>
      </w:r>
    </w:p>
    <w:p w14:paraId="3A1A08EA" w14:textId="2ABDCFF8" w:rsidR="00B14A6D" w:rsidRDefault="00B14A6D" w:rsidP="00F049A7">
      <w:r w:rsidRPr="00460DF2">
        <w:t xml:space="preserve">It also recognises that professionals are often managing behaviours which require a commitment to a longer term, solution-based approach which </w:t>
      </w:r>
      <w:r w:rsidR="003E694B">
        <w:t>depend on</w:t>
      </w:r>
      <w:r w:rsidRPr="00460DF2">
        <w:t xml:space="preserve"> building trust and rapport with the </w:t>
      </w:r>
      <w:r w:rsidR="00442A1D">
        <w:t>person</w:t>
      </w:r>
      <w:r w:rsidRPr="00460DF2">
        <w:t xml:space="preserve">. </w:t>
      </w:r>
    </w:p>
    <w:p w14:paraId="13D4D878" w14:textId="77777777" w:rsidR="00B14A6D" w:rsidRDefault="00B14A6D" w:rsidP="00F049A7">
      <w:r>
        <w:t xml:space="preserve">It is acknowledged that professionals across different organisations may have a greater or lesser role in each of the seven areas of practice highlighted in this guidance. For example, building trust and rapport and exploring trauma and adverse life experiences indicates therapeutic interventions, whilst assessment of need points towards adult social care. Professional judgement should be used to identify and involve agencies that can respond to aspects of complex need that are beyond your organisational remit. </w:t>
      </w:r>
    </w:p>
    <w:p w14:paraId="678136CD" w14:textId="77777777" w:rsidR="00B14A6D" w:rsidRPr="00460DF2" w:rsidRDefault="00B14A6D" w:rsidP="00F049A7">
      <w:r w:rsidRPr="00460DF2">
        <w:t xml:space="preserve">The </w:t>
      </w:r>
      <w:r>
        <w:t>guidance</w:t>
      </w:r>
      <w:r w:rsidRPr="00460DF2">
        <w:t xml:space="preserve"> aims to inform positive practice to facilitate the following: </w:t>
      </w:r>
    </w:p>
    <w:p w14:paraId="6320540D" w14:textId="7DD1C1DA" w:rsidR="00B14A6D" w:rsidRPr="00442A1D" w:rsidRDefault="00B14A6D" w:rsidP="00031052">
      <w:pPr>
        <w:pStyle w:val="NoSpacing"/>
      </w:pPr>
      <w:r w:rsidRPr="00442A1D">
        <w:t>The adult’s involvement and engagement</w:t>
      </w:r>
      <w:r w:rsidR="000513F8">
        <w:t>.</w:t>
      </w:r>
      <w:r w:rsidRPr="00442A1D">
        <w:t xml:space="preserve"> </w:t>
      </w:r>
    </w:p>
    <w:p w14:paraId="6A45610B" w14:textId="7306CD44" w:rsidR="00B14A6D" w:rsidRPr="00442A1D" w:rsidRDefault="00B14A6D" w:rsidP="00031052">
      <w:pPr>
        <w:pStyle w:val="NoSpacing"/>
      </w:pPr>
      <w:r w:rsidRPr="00442A1D">
        <w:t xml:space="preserve"> Identification and holistic assessment of need and risk</w:t>
      </w:r>
      <w:r w:rsidR="000513F8">
        <w:t>.</w:t>
      </w:r>
      <w:r w:rsidRPr="00442A1D">
        <w:t xml:space="preserve"> </w:t>
      </w:r>
    </w:p>
    <w:p w14:paraId="02A8D989" w14:textId="66FD9A51" w:rsidR="00B14A6D" w:rsidRPr="00442A1D" w:rsidRDefault="00B14A6D" w:rsidP="00031052">
      <w:pPr>
        <w:pStyle w:val="NoSpacing"/>
      </w:pPr>
      <w:r w:rsidRPr="00442A1D">
        <w:t xml:space="preserve"> Timely information sharing around need and risk</w:t>
      </w:r>
      <w:r w:rsidR="000513F8">
        <w:t>.</w:t>
      </w:r>
    </w:p>
    <w:p w14:paraId="22AE1DE2" w14:textId="2A1615EE" w:rsidR="00B14A6D" w:rsidRPr="00442A1D" w:rsidRDefault="00B14A6D" w:rsidP="00031052">
      <w:pPr>
        <w:pStyle w:val="NoSpacing"/>
      </w:pPr>
      <w:r w:rsidRPr="00442A1D">
        <w:lastRenderedPageBreak/>
        <w:t xml:space="preserve"> Development of shared risk management plans</w:t>
      </w:r>
      <w:r w:rsidR="000513F8">
        <w:t>.</w:t>
      </w:r>
    </w:p>
    <w:p w14:paraId="0CBD3B07" w14:textId="2C5412A5" w:rsidR="00B14A6D" w:rsidRPr="00442A1D" w:rsidRDefault="00B14A6D" w:rsidP="00031052">
      <w:pPr>
        <w:pStyle w:val="NoSpacing"/>
      </w:pPr>
      <w:r w:rsidRPr="00442A1D">
        <w:t xml:space="preserve"> Shared decision making and responsibility</w:t>
      </w:r>
      <w:r w:rsidR="000513F8">
        <w:t>.</w:t>
      </w:r>
    </w:p>
    <w:p w14:paraId="528E3071" w14:textId="0731E8E6" w:rsidR="00B14A6D" w:rsidRPr="007364AC" w:rsidRDefault="00B14A6D" w:rsidP="00442A1D">
      <w:pPr>
        <w:pStyle w:val="NoSpacing"/>
      </w:pPr>
      <w:r w:rsidRPr="00442A1D">
        <w:t xml:space="preserve"> Improved outcomes</w:t>
      </w:r>
      <w:r w:rsidRPr="007364AC">
        <w:t xml:space="preserve"> for the adult. </w:t>
      </w:r>
    </w:p>
    <w:p w14:paraId="7D2304B8" w14:textId="64DAAC55" w:rsidR="00B14A6D" w:rsidRPr="007E00A8" w:rsidRDefault="00B14A6D" w:rsidP="00DE3650">
      <w:pPr>
        <w:pStyle w:val="Heading1"/>
      </w:pPr>
      <w:bookmarkStart w:id="8" w:name="_Toc88473254"/>
      <w:bookmarkStart w:id="9" w:name="_Toc90455712"/>
      <w:bookmarkStart w:id="10" w:name="_Hlk82710755"/>
      <w:r w:rsidRPr="00330277">
        <w:t xml:space="preserve">Identifying </w:t>
      </w:r>
      <w:r w:rsidR="004A520C">
        <w:t>M</w:t>
      </w:r>
      <w:r w:rsidRPr="00330277">
        <w:t>ultiple and Complex Needs</w:t>
      </w:r>
      <w:bookmarkEnd w:id="8"/>
      <w:bookmarkEnd w:id="9"/>
    </w:p>
    <w:p w14:paraId="4379028D" w14:textId="66FB87CF" w:rsidR="00B14A6D" w:rsidRDefault="00B14A6D" w:rsidP="003D56AD">
      <w:pPr>
        <w:pStyle w:val="BodyText"/>
      </w:pPr>
      <w:r w:rsidRPr="00460DF2">
        <w:t>The following definition of MCN is agreed by partners of the E</w:t>
      </w:r>
      <w:r w:rsidR="006B5F66">
        <w:t xml:space="preserve">ast </w:t>
      </w:r>
      <w:r w:rsidRPr="00460DF2">
        <w:t>S</w:t>
      </w:r>
      <w:r w:rsidR="006B5F66">
        <w:t xml:space="preserve">ussex </w:t>
      </w:r>
      <w:r w:rsidRPr="00460DF2">
        <w:t>SAB and it should be used where appropriate, to assess and identify if a person has MCN as part of their needs for care and support:</w:t>
      </w:r>
      <w:bookmarkStart w:id="11" w:name="_Hlk75327344"/>
    </w:p>
    <w:p w14:paraId="15CAD2FA" w14:textId="77777777" w:rsidR="003D56AD" w:rsidRPr="00460DF2" w:rsidRDefault="003D56AD" w:rsidP="003D56AD">
      <w:pPr>
        <w:pStyle w:val="BodyText"/>
      </w:pPr>
    </w:p>
    <w:p w14:paraId="6F815502" w14:textId="32EB1223" w:rsidR="00D51548" w:rsidRDefault="00D51548" w:rsidP="003D56AD">
      <w:pPr>
        <w:pStyle w:val="BodyText"/>
      </w:pPr>
      <w:r w:rsidRPr="00031052">
        <w:t>MCN</w:t>
      </w:r>
      <w:r w:rsidR="00B14A6D" w:rsidRPr="00031052">
        <w:t xml:space="preserve"> </w:t>
      </w:r>
      <w:r w:rsidR="00B14A6D" w:rsidRPr="00460DF2">
        <w:t xml:space="preserve">is defined for the purposes of this </w:t>
      </w:r>
      <w:r w:rsidR="00B14A6D">
        <w:t>guidance</w:t>
      </w:r>
      <w:r w:rsidR="00B14A6D" w:rsidRPr="00460DF2">
        <w:t xml:space="preserve"> as experiencing a combination of primary disadvantages or needs that </w:t>
      </w:r>
      <w:r w:rsidR="00B14A6D" w:rsidRPr="00E66F45">
        <w:t xml:space="preserve">exist </w:t>
      </w:r>
      <w:r w:rsidR="00B14A6D" w:rsidRPr="00031052">
        <w:t>at the same time</w:t>
      </w:r>
      <w:r w:rsidR="00B14A6D" w:rsidRPr="00E66F45">
        <w:t xml:space="preserve"> and which relate to four out of the </w:t>
      </w:r>
      <w:r w:rsidR="00B14A6D" w:rsidRPr="00096873">
        <w:t xml:space="preserve">following </w:t>
      </w:r>
      <w:r w:rsidR="006560E0" w:rsidRPr="007D0C84">
        <w:t>five</w:t>
      </w:r>
      <w:r w:rsidR="006560E0" w:rsidRPr="00E66F45">
        <w:t xml:space="preserve"> </w:t>
      </w:r>
      <w:r w:rsidR="00B14A6D" w:rsidRPr="00096873">
        <w:t>areas</w:t>
      </w:r>
      <w:r w:rsidR="006560E0">
        <w:t>:</w:t>
      </w:r>
      <w:bookmarkStart w:id="12" w:name="_Hlk75327224"/>
      <w:bookmarkEnd w:id="11"/>
    </w:p>
    <w:p w14:paraId="7F239E5B" w14:textId="77777777" w:rsidR="003D56AD" w:rsidRPr="00096873" w:rsidRDefault="003D56AD" w:rsidP="003D56AD">
      <w:pPr>
        <w:pStyle w:val="BodyText"/>
      </w:pPr>
    </w:p>
    <w:p w14:paraId="4123B20F" w14:textId="147EFA81" w:rsidR="00B14A6D" w:rsidRPr="007364AC" w:rsidRDefault="00F60654" w:rsidP="007364AC">
      <w:pPr>
        <w:pStyle w:val="NoSpacing"/>
      </w:pPr>
      <w:bookmarkStart w:id="13" w:name="_Hlk75327527"/>
      <w:bookmarkEnd w:id="12"/>
      <w:r>
        <w:t>B</w:t>
      </w:r>
      <w:r w:rsidR="00B14A6D" w:rsidRPr="007364AC">
        <w:t>eing a victim of violence and abuse</w:t>
      </w:r>
      <w:r w:rsidR="003D56AD">
        <w:t>,</w:t>
      </w:r>
      <w:r w:rsidR="00B14A6D" w:rsidRPr="007364AC">
        <w:t xml:space="preserve"> such as having been raped or sexually assaulted</w:t>
      </w:r>
      <w:r>
        <w:t>,</w:t>
      </w:r>
      <w:r w:rsidR="00B14A6D" w:rsidRPr="007364AC">
        <w:t xml:space="preserve"> suffering violence, or subjected to coercive control by any perpetrator. </w:t>
      </w:r>
    </w:p>
    <w:p w14:paraId="77902405" w14:textId="5AA4566E" w:rsidR="00B14A6D" w:rsidRPr="007364AC" w:rsidRDefault="00B14A6D" w:rsidP="007364AC">
      <w:pPr>
        <w:pStyle w:val="NoSpacing"/>
      </w:pPr>
      <w:r w:rsidRPr="00031052">
        <w:t>Poor mental health</w:t>
      </w:r>
      <w:r w:rsidRPr="007364AC">
        <w:t xml:space="preserve"> is defined as struggling to cope due to the nature and degree to which mental health difficulties are having a detrimental effect on a </w:t>
      </w:r>
      <w:r w:rsidR="006560E0" w:rsidRPr="007364AC">
        <w:t>person’</w:t>
      </w:r>
      <w:r w:rsidRPr="007364AC">
        <w:t xml:space="preserve">s wellbeing and functioning. Mental illness may also appear to be present </w:t>
      </w:r>
      <w:r w:rsidR="006560E0" w:rsidRPr="007364AC">
        <w:t xml:space="preserve">whether or not it has been </w:t>
      </w:r>
      <w:r w:rsidRPr="007364AC">
        <w:t xml:space="preserve">diagnosed. Self-neglect, mental capacity issues and hoarding may also be present. This definition also includes poor mental health </w:t>
      </w:r>
      <w:r w:rsidR="006560E0" w:rsidRPr="007364AC">
        <w:t xml:space="preserve">due to </w:t>
      </w:r>
      <w:r w:rsidRPr="007364AC">
        <w:t>trauma that continues to impact on an individual. This can include trauma that may</w:t>
      </w:r>
      <w:r w:rsidR="006560E0" w:rsidRPr="007364AC">
        <w:t xml:space="preserve"> </w:t>
      </w:r>
      <w:r w:rsidRPr="007364AC">
        <w:t xml:space="preserve">be </w:t>
      </w:r>
      <w:r w:rsidR="006560E0" w:rsidRPr="007364AC">
        <w:t>the</w:t>
      </w:r>
      <w:r w:rsidRPr="007364AC">
        <w:t xml:space="preserve"> result of </w:t>
      </w:r>
      <w:r w:rsidR="006560E0" w:rsidRPr="007364AC">
        <w:t>change</w:t>
      </w:r>
      <w:r w:rsidRPr="007364AC">
        <w:t xml:space="preserve">s of child residence arrangements. </w:t>
      </w:r>
    </w:p>
    <w:p w14:paraId="21EA82F1" w14:textId="1FB87034" w:rsidR="00B14A6D" w:rsidRPr="007364AC" w:rsidRDefault="00B14A6D" w:rsidP="00031052">
      <w:pPr>
        <w:pStyle w:val="NoSpacing"/>
      </w:pPr>
      <w:r w:rsidRPr="00031052">
        <w:t>Homelessness</w:t>
      </w:r>
      <w:r w:rsidRPr="007364AC">
        <w:t xml:space="preserve"> - a broad definition is adopted, including not having a settled place to stay, such as sofa-surfing (staying with family or friends because the </w:t>
      </w:r>
      <w:r w:rsidR="006560E0" w:rsidRPr="007364AC">
        <w:t xml:space="preserve">person </w:t>
      </w:r>
      <w:r w:rsidRPr="007364AC">
        <w:t>affected has no home of their own), staying in temporary or refuge accommodation</w:t>
      </w:r>
      <w:r w:rsidR="006560E0" w:rsidRPr="007364AC">
        <w:t xml:space="preserve">, </w:t>
      </w:r>
      <w:r w:rsidRPr="007364AC">
        <w:t>rough sleeping</w:t>
      </w:r>
      <w:r w:rsidR="006560E0" w:rsidRPr="007364AC">
        <w:t xml:space="preserve"> or </w:t>
      </w:r>
      <w:r w:rsidRPr="007364AC">
        <w:t>street homelessness.</w:t>
      </w:r>
    </w:p>
    <w:p w14:paraId="7FF4AEA7" w14:textId="1B974D11" w:rsidR="00B14A6D" w:rsidRPr="007364AC" w:rsidRDefault="00B14A6D" w:rsidP="00031052">
      <w:pPr>
        <w:pStyle w:val="NoSpacing"/>
      </w:pPr>
      <w:r w:rsidRPr="00031052">
        <w:t>Drug and / or alcohol dependency</w:t>
      </w:r>
      <w:r w:rsidRPr="007364AC">
        <w:t xml:space="preserve"> </w:t>
      </w:r>
      <w:r w:rsidR="00F60654">
        <w:t>- a</w:t>
      </w:r>
      <w:r w:rsidRPr="007364AC">
        <w:t xml:space="preserve"> broad definition is adopted, including not only regular use of illegal street drugs but also over the counter and prescribed medications, ‘harmful’ drinking of alcohol and dependence on cannabis.</w:t>
      </w:r>
    </w:p>
    <w:p w14:paraId="0C46B3D0" w14:textId="5DF6E640" w:rsidR="00B14A6D" w:rsidRPr="00460DF2" w:rsidRDefault="00B14A6D" w:rsidP="00031052">
      <w:pPr>
        <w:pStyle w:val="NoSpacing"/>
      </w:pPr>
      <w:r w:rsidRPr="007364AC">
        <w:t xml:space="preserve">Offending </w:t>
      </w:r>
      <w:bookmarkStart w:id="14" w:name="_Hlk77593029"/>
      <w:r w:rsidR="00F60654">
        <w:t>b</w:t>
      </w:r>
      <w:r w:rsidRPr="007364AC">
        <w:t xml:space="preserve">ehaviour - </w:t>
      </w:r>
      <w:r w:rsidR="00F60654">
        <w:t>h</w:t>
      </w:r>
      <w:r w:rsidRPr="007364AC">
        <w:t xml:space="preserve">aving contact with the criminal justice system, including being in contact with the police, probation and or </w:t>
      </w:r>
      <w:r w:rsidR="00A920D7" w:rsidRPr="007364AC">
        <w:t>c</w:t>
      </w:r>
      <w:r w:rsidRPr="007364AC">
        <w:t xml:space="preserve">ommunity </w:t>
      </w:r>
      <w:r w:rsidR="00A920D7" w:rsidRPr="007364AC">
        <w:t>s</w:t>
      </w:r>
      <w:r w:rsidRPr="007364AC">
        <w:t xml:space="preserve">afety </w:t>
      </w:r>
      <w:r w:rsidR="00A920D7" w:rsidRPr="007364AC">
        <w:t>s</w:t>
      </w:r>
      <w:r w:rsidRPr="007364AC">
        <w:t>ervices</w:t>
      </w:r>
      <w:r w:rsidRPr="00460DF2">
        <w:t>.</w:t>
      </w:r>
      <w:bookmarkEnd w:id="10"/>
      <w:bookmarkEnd w:id="13"/>
      <w:bookmarkEnd w:id="14"/>
    </w:p>
    <w:p w14:paraId="0F6CDD20" w14:textId="665CDAA3" w:rsidR="00B14A6D" w:rsidRDefault="00B14A6D" w:rsidP="003D56AD">
      <w:pPr>
        <w:pStyle w:val="BodyText"/>
      </w:pPr>
      <w:r w:rsidRPr="00460DF2">
        <w:t>Th</w:t>
      </w:r>
      <w:r>
        <w:t>e</w:t>
      </w:r>
      <w:r w:rsidRPr="00460DF2">
        <w:t xml:space="preserve"> definition </w:t>
      </w:r>
      <w:r>
        <w:t>is</w:t>
      </w:r>
      <w:r w:rsidRPr="00460DF2">
        <w:t xml:space="preserve"> not exhaustive and professional judgement should be used to identify those who are struggling to cope, and who may need support and safeguarding </w:t>
      </w:r>
      <w:r w:rsidRPr="00E66F45">
        <w:t xml:space="preserve">interventions. </w:t>
      </w:r>
    </w:p>
    <w:p w14:paraId="133C8CC3" w14:textId="77777777" w:rsidR="003D56AD" w:rsidRPr="00096873" w:rsidRDefault="003D56AD" w:rsidP="003D56AD">
      <w:pPr>
        <w:pStyle w:val="BodyText"/>
      </w:pPr>
    </w:p>
    <w:p w14:paraId="5B843E94" w14:textId="020E577A" w:rsidR="007364AC" w:rsidRDefault="00DB6BBE" w:rsidP="003D56AD">
      <w:pPr>
        <w:pStyle w:val="BodyText"/>
      </w:pPr>
      <w:r w:rsidRPr="00F049A7">
        <w:lastRenderedPageBreak/>
        <w:t>The intensity and frequency of needs and the level of risk</w:t>
      </w:r>
      <w:r w:rsidRPr="00E66F45">
        <w:t xml:space="preserve"> </w:t>
      </w:r>
      <w:r w:rsidRPr="00096873">
        <w:t>because of those needs are factors to consider.</w:t>
      </w:r>
      <w:r w:rsidRPr="00031052">
        <w:t xml:space="preserve"> </w:t>
      </w:r>
      <w:r w:rsidRPr="00E66F45">
        <w:t>Some individuals may have fewer areas of need</w:t>
      </w:r>
      <w:r w:rsidRPr="00460DF2">
        <w:t xml:space="preserve">, but the intensity and severity </w:t>
      </w:r>
      <w:proofErr w:type="gramStart"/>
      <w:r w:rsidRPr="00460DF2">
        <w:t>is</w:t>
      </w:r>
      <w:proofErr w:type="gramEnd"/>
      <w:r w:rsidRPr="00460DF2">
        <w:t xml:space="preserve"> high with a high level of ris</w:t>
      </w:r>
      <w:r w:rsidR="00F60654">
        <w:t>k</w:t>
      </w:r>
      <w:r w:rsidRPr="00460DF2">
        <w:t xml:space="preserve">. Others may experience more areas of need with lower levels of risk. </w:t>
      </w:r>
    </w:p>
    <w:p w14:paraId="5E6BCEB1" w14:textId="74742FAC" w:rsidR="00B14A6D" w:rsidRPr="00537E2D" w:rsidRDefault="00B14A6D" w:rsidP="00DE3650">
      <w:pPr>
        <w:pStyle w:val="Heading1"/>
      </w:pPr>
      <w:bookmarkStart w:id="15" w:name="_Toc88473255"/>
      <w:bookmarkStart w:id="16" w:name="_Toc90455713"/>
      <w:r w:rsidRPr="00537E2D">
        <w:t xml:space="preserve">Assessing and </w:t>
      </w:r>
      <w:r w:rsidR="004A520C" w:rsidRPr="00537E2D">
        <w:t>s</w:t>
      </w:r>
      <w:r w:rsidRPr="00537E2D">
        <w:t xml:space="preserve">upporting </w:t>
      </w:r>
      <w:r w:rsidR="004A520C" w:rsidRPr="00537E2D">
        <w:t>i</w:t>
      </w:r>
      <w:r w:rsidRPr="00537E2D">
        <w:t>ndividuals</w:t>
      </w:r>
      <w:bookmarkEnd w:id="15"/>
      <w:bookmarkEnd w:id="16"/>
    </w:p>
    <w:p w14:paraId="68E553BC" w14:textId="2855DA23" w:rsidR="00B14A6D" w:rsidRPr="00F60654" w:rsidRDefault="00B14A6D" w:rsidP="00F049A7">
      <w:pPr>
        <w:pStyle w:val="NormalWeb"/>
        <w:rPr>
          <w:rFonts w:ascii="Arial" w:hAnsi="Arial" w:cs="Arial"/>
        </w:rPr>
      </w:pPr>
      <w:r w:rsidRPr="005F062F">
        <w:rPr>
          <w:rStyle w:val="BodyTextChar"/>
        </w:rPr>
        <w:t>The evidence-base for best practice when assessing and supporting</w:t>
      </w:r>
      <w:r w:rsidR="00E470B8" w:rsidRPr="005F062F">
        <w:rPr>
          <w:rStyle w:val="BodyTextChar"/>
        </w:rPr>
        <w:t xml:space="preserve"> at risk</w:t>
      </w:r>
      <w:r w:rsidRPr="005F062F">
        <w:rPr>
          <w:rStyle w:val="BodyTextChar"/>
        </w:rPr>
        <w:t xml:space="preserve"> individuals with MCN has been built from research and SAR findings. It comprises seven building</w:t>
      </w:r>
      <w:r w:rsidRPr="00F60654">
        <w:rPr>
          <w:rFonts w:ascii="Arial" w:hAnsi="Arial" w:cs="Arial"/>
        </w:rPr>
        <w:t xml:space="preserve"> blocks:</w:t>
      </w:r>
    </w:p>
    <w:p w14:paraId="40CA41AB" w14:textId="75538F97" w:rsidR="00B14A6D" w:rsidRPr="00460DF2" w:rsidRDefault="008278BE" w:rsidP="008278BE">
      <w:pPr>
        <w:pStyle w:val="NoSpacing"/>
      </w:pPr>
      <w:r w:rsidRPr="00460DF2">
        <w:t>P</w:t>
      </w:r>
      <w:r w:rsidR="007B24AC" w:rsidRPr="00460DF2">
        <w:t>erson</w:t>
      </w:r>
      <w:r>
        <w:t>-</w:t>
      </w:r>
      <w:r w:rsidR="007B24AC" w:rsidRPr="00460DF2">
        <w:t>centred approach</w:t>
      </w:r>
      <w:r w:rsidR="000513F8">
        <w:t>.</w:t>
      </w:r>
    </w:p>
    <w:p w14:paraId="2A4605F4" w14:textId="21B89B2E" w:rsidR="00B14A6D" w:rsidRPr="00460DF2" w:rsidRDefault="000513F8" w:rsidP="008278BE">
      <w:pPr>
        <w:pStyle w:val="NoSpacing"/>
      </w:pPr>
      <w:r>
        <w:t>P</w:t>
      </w:r>
      <w:r w:rsidR="007B24AC" w:rsidRPr="00460DF2">
        <w:t>rofessional curiosity</w:t>
      </w:r>
      <w:r>
        <w:t>.</w:t>
      </w:r>
    </w:p>
    <w:p w14:paraId="5B5F2A65" w14:textId="4225E8FC" w:rsidR="00B14A6D" w:rsidRPr="00460DF2" w:rsidRDefault="000513F8" w:rsidP="008278BE">
      <w:pPr>
        <w:pStyle w:val="NoSpacing"/>
      </w:pPr>
      <w:r>
        <w:t>E</w:t>
      </w:r>
      <w:r w:rsidR="007B24AC" w:rsidRPr="00460DF2">
        <w:t>xploring the impact of trauma and adverse experiences</w:t>
      </w:r>
      <w:r>
        <w:t>.</w:t>
      </w:r>
    </w:p>
    <w:p w14:paraId="6CEA4CD7" w14:textId="4367EB01" w:rsidR="00B14A6D" w:rsidRPr="00460DF2" w:rsidRDefault="000513F8" w:rsidP="008278BE">
      <w:pPr>
        <w:pStyle w:val="NoSpacing"/>
      </w:pPr>
      <w:r>
        <w:t>E</w:t>
      </w:r>
      <w:r w:rsidR="007B24AC" w:rsidRPr="00460DF2">
        <w:t>xploring non-engagement</w:t>
      </w:r>
      <w:r>
        <w:t>.</w:t>
      </w:r>
      <w:r w:rsidR="007B24AC" w:rsidRPr="00460DF2">
        <w:t xml:space="preserve">  </w:t>
      </w:r>
    </w:p>
    <w:p w14:paraId="7392C060" w14:textId="0C708233" w:rsidR="00B14A6D" w:rsidRPr="00460DF2" w:rsidRDefault="000513F8" w:rsidP="008278BE">
      <w:pPr>
        <w:pStyle w:val="NoSpacing"/>
      </w:pPr>
      <w:r>
        <w:t>R</w:t>
      </w:r>
      <w:r w:rsidR="007B24AC" w:rsidRPr="00460DF2">
        <w:t>isk assessment</w:t>
      </w:r>
      <w:r>
        <w:t>s.</w:t>
      </w:r>
      <w:r w:rsidR="007B24AC" w:rsidRPr="00460DF2">
        <w:t xml:space="preserve"> </w:t>
      </w:r>
    </w:p>
    <w:p w14:paraId="5FEB0ED8" w14:textId="533F9FCA" w:rsidR="00B14A6D" w:rsidRPr="00460DF2" w:rsidRDefault="000513F8" w:rsidP="008278BE">
      <w:pPr>
        <w:pStyle w:val="NoSpacing"/>
      </w:pPr>
      <w:r>
        <w:t>M</w:t>
      </w:r>
      <w:r w:rsidR="007B24AC" w:rsidRPr="00460DF2">
        <w:t>ental capacity assessment</w:t>
      </w:r>
      <w:r>
        <w:t>s.</w:t>
      </w:r>
      <w:r w:rsidR="007B24AC" w:rsidRPr="00460DF2">
        <w:t xml:space="preserve"> </w:t>
      </w:r>
    </w:p>
    <w:p w14:paraId="57A56AEE" w14:textId="7E5E8DBD" w:rsidR="00B14A6D" w:rsidRPr="00460DF2" w:rsidRDefault="000513F8" w:rsidP="008278BE">
      <w:pPr>
        <w:pStyle w:val="NoSpacing"/>
      </w:pPr>
      <w:r>
        <w:t>T</w:t>
      </w:r>
      <w:r w:rsidR="007B24AC" w:rsidRPr="00460DF2">
        <w:t>eam around the person</w:t>
      </w:r>
      <w:r>
        <w:t>.</w:t>
      </w:r>
    </w:p>
    <w:p w14:paraId="5C92289A" w14:textId="52123F44" w:rsidR="00B14A6D" w:rsidRPr="007F638A" w:rsidRDefault="00B14A6D" w:rsidP="00537E2D">
      <w:pPr>
        <w:pStyle w:val="Heading2"/>
      </w:pPr>
      <w:bookmarkStart w:id="17" w:name="_Toc88473256"/>
      <w:bookmarkStart w:id="18" w:name="_Toc90455714"/>
      <w:r w:rsidRPr="007F638A">
        <w:t>Person</w:t>
      </w:r>
      <w:r w:rsidR="007B24AC" w:rsidRPr="007F638A">
        <w:t>-</w:t>
      </w:r>
      <w:r w:rsidR="004A520C" w:rsidRPr="007F638A">
        <w:t>c</w:t>
      </w:r>
      <w:r w:rsidRPr="007F638A">
        <w:t xml:space="preserve">entred </w:t>
      </w:r>
      <w:r w:rsidR="004A520C" w:rsidRPr="007F638A">
        <w:t>a</w:t>
      </w:r>
      <w:r w:rsidRPr="007F638A">
        <w:t>pproach</w:t>
      </w:r>
      <w:bookmarkEnd w:id="17"/>
      <w:bookmarkEnd w:id="18"/>
    </w:p>
    <w:p w14:paraId="6E2C7302" w14:textId="4ED147F3" w:rsidR="00B14A6D" w:rsidRPr="00460DF2" w:rsidRDefault="00B14A6D" w:rsidP="00F049A7">
      <w:pPr>
        <w:rPr>
          <w:color w:val="464B51"/>
          <w:lang w:eastAsia="en-GB"/>
        </w:rPr>
      </w:pPr>
      <w:r w:rsidRPr="005F062F">
        <w:rPr>
          <w:rStyle w:val="BodyTextChar"/>
        </w:rPr>
        <w:t>A person-centred approach is embedded in the legal framework that accompanies the Care Act 2014. The </w:t>
      </w:r>
      <w:hyperlink r:id="rId18" w:history="1">
        <w:r w:rsidR="000513F8" w:rsidRPr="000513F8">
          <w:rPr>
            <w:rStyle w:val="Hyperlink"/>
            <w:rFonts w:eastAsia="Calibri" w:cs="Arial"/>
          </w:rPr>
          <w:t>Care and Support Statutory Guidance</w:t>
        </w:r>
        <w:r w:rsidRPr="000513F8">
          <w:rPr>
            <w:rStyle w:val="Hyperlink"/>
            <w:rFonts w:eastAsia="Calibri" w:cs="Arial"/>
          </w:rPr>
          <w:t> </w:t>
        </w:r>
      </w:hyperlink>
      <w:r w:rsidRPr="005F062F">
        <w:rPr>
          <w:rStyle w:val="BodyTextChar"/>
        </w:rPr>
        <w:t>further emphasises the principle of involvement</w:t>
      </w:r>
      <w:r w:rsidR="007B24AC" w:rsidRPr="005F062F">
        <w:rPr>
          <w:rStyle w:val="BodyTextChar"/>
        </w:rPr>
        <w:t>. This means</w:t>
      </w:r>
      <w:r w:rsidRPr="005F062F">
        <w:rPr>
          <w:rStyle w:val="BodyTextChar"/>
        </w:rPr>
        <w:t xml:space="preserve"> putting the person at the heart of the assessment process to understand their needs, desired outcomes and wellbeing, and to</w:t>
      </w:r>
      <w:r w:rsidRPr="005F062F">
        <w:t xml:space="preserve"> deliver</w:t>
      </w:r>
      <w:r w:rsidRPr="005F062F">
        <w:rPr>
          <w:rStyle w:val="BodyTextChar"/>
        </w:rPr>
        <w:t xml:space="preserve"> better care and support</w:t>
      </w:r>
      <w:r w:rsidRPr="00460DF2">
        <w:rPr>
          <w:color w:val="464B51"/>
          <w:lang w:eastAsia="en-GB"/>
        </w:rPr>
        <w:t>:</w:t>
      </w:r>
    </w:p>
    <w:p w14:paraId="3A45167A" w14:textId="77777777" w:rsidR="00B14A6D" w:rsidRPr="00873028" w:rsidRDefault="00B14A6D" w:rsidP="00873028">
      <w:pPr>
        <w:pStyle w:val="NoSpacing"/>
      </w:pPr>
      <w:bookmarkStart w:id="19" w:name="_Hlk88471720"/>
      <w:r w:rsidRPr="00873028">
        <w:t>Individuals should be provided with questions in advance, in an accessible format, to help them prepare.</w:t>
      </w:r>
    </w:p>
    <w:p w14:paraId="3FB6D8E5" w14:textId="2343FEBD" w:rsidR="00B14A6D" w:rsidRPr="00873028" w:rsidRDefault="00B14A6D" w:rsidP="00873028">
      <w:pPr>
        <w:pStyle w:val="NoSpacing"/>
      </w:pPr>
      <w:r w:rsidRPr="00873028">
        <w:t>To promote engagement and involvement, consideration should be given to any preferences an individual may have regarding the location, timing and format of an assessment. </w:t>
      </w:r>
    </w:p>
    <w:p w14:paraId="272740C1" w14:textId="20009091" w:rsidR="00B14A6D" w:rsidRPr="00873028" w:rsidRDefault="00B14A6D" w:rsidP="00873028">
      <w:pPr>
        <w:pStyle w:val="NoSpacing"/>
      </w:pPr>
      <w:r w:rsidRPr="00873028">
        <w:t xml:space="preserve">A strengths-based approach and taking time to </w:t>
      </w:r>
      <w:r w:rsidR="0004378B" w:rsidRPr="00873028">
        <w:t>get to know</w:t>
      </w:r>
      <w:r w:rsidRPr="00873028">
        <w:t xml:space="preserve"> and trust </w:t>
      </w:r>
      <w:r w:rsidR="0004378B" w:rsidRPr="00873028">
        <w:t xml:space="preserve">each other </w:t>
      </w:r>
      <w:r w:rsidRPr="00873028">
        <w:t>are important elements</w:t>
      </w:r>
      <w:r w:rsidR="0004378B" w:rsidRPr="00873028">
        <w:t>. T</w:t>
      </w:r>
      <w:r w:rsidRPr="00873028">
        <w:t xml:space="preserve">he </w:t>
      </w:r>
      <w:r w:rsidR="0004378B" w:rsidRPr="00873028">
        <w:t xml:space="preserve">person should </w:t>
      </w:r>
      <w:r w:rsidRPr="00873028">
        <w:t xml:space="preserve">retain ownership of goals and the progress </w:t>
      </w:r>
      <w:r w:rsidR="0004378B" w:rsidRPr="00873028">
        <w:t>needed to</w:t>
      </w:r>
      <w:r w:rsidRPr="00873028">
        <w:t xml:space="preserve"> achiev</w:t>
      </w:r>
      <w:r w:rsidR="0004378B" w:rsidRPr="00873028">
        <w:t xml:space="preserve">e </w:t>
      </w:r>
      <w:r w:rsidRPr="00873028">
        <w:t>them.</w:t>
      </w:r>
    </w:p>
    <w:p w14:paraId="209122A6" w14:textId="09767203" w:rsidR="00B14A6D" w:rsidRDefault="00B14A6D" w:rsidP="00873028">
      <w:pPr>
        <w:pStyle w:val="NoSpacing"/>
      </w:pPr>
      <w:r w:rsidRPr="00873028">
        <w:t>Care and support assessments must be balanced</w:t>
      </w:r>
      <w:r w:rsidR="0004378B" w:rsidRPr="00873028">
        <w:t xml:space="preserve"> and</w:t>
      </w:r>
      <w:r w:rsidRPr="00873028">
        <w:t xml:space="preserve"> consider all needs equally. Assessment should focus on </w:t>
      </w:r>
      <w:r w:rsidR="0004378B" w:rsidRPr="00873028">
        <w:t xml:space="preserve">identifying and </w:t>
      </w:r>
      <w:r w:rsidRPr="00873028">
        <w:t>understanding</w:t>
      </w:r>
      <w:r w:rsidR="0004378B" w:rsidRPr="00873028">
        <w:t xml:space="preserve"> </w:t>
      </w:r>
      <w:r w:rsidRPr="00873028">
        <w:t>an individual’s needs</w:t>
      </w:r>
      <w:r w:rsidR="0004378B" w:rsidRPr="00873028">
        <w:t>. I</w:t>
      </w:r>
      <w:r w:rsidRPr="00873028">
        <w:t>t should not</w:t>
      </w:r>
      <w:r w:rsidRPr="00096873">
        <w:t xml:space="preserve"> start from a position of what services are available and/or normally provided. </w:t>
      </w:r>
    </w:p>
    <w:p w14:paraId="6758707D" w14:textId="77777777" w:rsidR="008278BE" w:rsidRPr="00096873" w:rsidRDefault="008278BE" w:rsidP="000513F8">
      <w:pPr>
        <w:pStyle w:val="NoSpacing"/>
        <w:numPr>
          <w:ilvl w:val="0"/>
          <w:numId w:val="0"/>
        </w:numPr>
        <w:ind w:left="850"/>
      </w:pPr>
    </w:p>
    <w:p w14:paraId="23714F28" w14:textId="6F88CE25" w:rsidR="00B14A6D" w:rsidRPr="007E00A8" w:rsidRDefault="00B14A6D" w:rsidP="00537E2D">
      <w:pPr>
        <w:pStyle w:val="Heading2"/>
      </w:pPr>
      <w:bookmarkStart w:id="20" w:name="_Toc88473257"/>
      <w:bookmarkStart w:id="21" w:name="_Toc90455715"/>
      <w:bookmarkEnd w:id="19"/>
      <w:r w:rsidRPr="00330277">
        <w:lastRenderedPageBreak/>
        <w:t xml:space="preserve">Professional </w:t>
      </w:r>
      <w:r w:rsidR="004A520C">
        <w:t>c</w:t>
      </w:r>
      <w:r w:rsidRPr="00330277">
        <w:t>uriosity</w:t>
      </w:r>
      <w:bookmarkEnd w:id="20"/>
      <w:bookmarkEnd w:id="21"/>
    </w:p>
    <w:p w14:paraId="4CF66DFF" w14:textId="5C3F26B4" w:rsidR="007F638A" w:rsidRPr="005F062F" w:rsidRDefault="00B14A6D" w:rsidP="005F062F">
      <w:pPr>
        <w:pStyle w:val="BodyText"/>
      </w:pPr>
      <w:r w:rsidRPr="005F062F">
        <w:t xml:space="preserve">Assessments should be characterised by professional curiosity rather than taking </w:t>
      </w:r>
      <w:r w:rsidR="006B5F66">
        <w:t xml:space="preserve">situations </w:t>
      </w:r>
      <w:r w:rsidRPr="005F062F">
        <w:t xml:space="preserve">at face value and without exploration what a </w:t>
      </w:r>
      <w:r w:rsidR="00537E2D" w:rsidRPr="005F062F">
        <w:t>person</w:t>
      </w:r>
      <w:r w:rsidRPr="005F062F">
        <w:t xml:space="preserve"> says. Professional curiosity about people’s experiences </w:t>
      </w:r>
      <w:r w:rsidR="0004378B" w:rsidRPr="005F062F">
        <w:t xml:space="preserve">helps </w:t>
      </w:r>
      <w:r w:rsidRPr="005F062F">
        <w:t>to understand the</w:t>
      </w:r>
      <w:r w:rsidR="0004378B" w:rsidRPr="005F062F">
        <w:t xml:space="preserve"> </w:t>
      </w:r>
      <w:r w:rsidRPr="005F062F">
        <w:t>ongoing impact of trauma and adverse experiences. Th</w:t>
      </w:r>
      <w:r w:rsidR="0004378B" w:rsidRPr="005F062F">
        <w:t>i</w:t>
      </w:r>
      <w:r w:rsidRPr="005F062F">
        <w:t>s</w:t>
      </w:r>
      <w:r w:rsidR="0004378B" w:rsidRPr="005F062F">
        <w:t xml:space="preserve"> gives a better </w:t>
      </w:r>
      <w:r w:rsidR="003E0085" w:rsidRPr="005F062F">
        <w:t xml:space="preserve">insight into </w:t>
      </w:r>
      <w:r w:rsidRPr="005F062F">
        <w:t>how they come to be the person th</w:t>
      </w:r>
      <w:r w:rsidR="0004378B" w:rsidRPr="005F062F">
        <w:t xml:space="preserve">ey are now. </w:t>
      </w:r>
      <w:r w:rsidRPr="005F062F">
        <w:t xml:space="preserve"> </w:t>
      </w:r>
    </w:p>
    <w:p w14:paraId="24E6BFE2" w14:textId="20F2FCC1" w:rsidR="00B14A6D" w:rsidRPr="007E00A8" w:rsidRDefault="00B14A6D" w:rsidP="00537E2D">
      <w:pPr>
        <w:pStyle w:val="Heading2"/>
      </w:pPr>
      <w:bookmarkStart w:id="22" w:name="_Toc88473258"/>
      <w:bookmarkStart w:id="23" w:name="_Toc90455716"/>
      <w:r w:rsidRPr="00330277">
        <w:t xml:space="preserve">Exploring </w:t>
      </w:r>
      <w:r w:rsidR="004A520C">
        <w:t>t</w:t>
      </w:r>
      <w:r w:rsidRPr="00330277">
        <w:t xml:space="preserve">rauma and </w:t>
      </w:r>
      <w:r w:rsidR="004A520C">
        <w:t>a</w:t>
      </w:r>
      <w:r w:rsidRPr="00330277">
        <w:t xml:space="preserve">dverse </w:t>
      </w:r>
      <w:r w:rsidR="004A520C">
        <w:t>e</w:t>
      </w:r>
      <w:r w:rsidRPr="00330277">
        <w:t>xperiences</w:t>
      </w:r>
      <w:bookmarkEnd w:id="22"/>
      <w:bookmarkEnd w:id="23"/>
      <w:r w:rsidRPr="00330277">
        <w:t xml:space="preserve"> </w:t>
      </w:r>
    </w:p>
    <w:p w14:paraId="3C749ACF" w14:textId="2CF7C635" w:rsidR="003E0085" w:rsidRDefault="00B14A6D" w:rsidP="005F062F">
      <w:pPr>
        <w:pStyle w:val="BodyText"/>
        <w:rPr>
          <w:lang w:eastAsia="en-GB"/>
        </w:rPr>
      </w:pPr>
      <w:r w:rsidRPr="00460DF2">
        <w:t>Assessments should</w:t>
      </w:r>
      <w:r w:rsidRPr="00460DF2">
        <w:rPr>
          <w:b/>
          <w:bCs/>
        </w:rPr>
        <w:t xml:space="preserve"> </w:t>
      </w:r>
      <w:r w:rsidRPr="00460DF2">
        <w:rPr>
          <w:lang w:eastAsia="en-GB"/>
        </w:rPr>
        <w:t xml:space="preserve">include details of a person’s life experiences, the impact of significant </w:t>
      </w:r>
      <w:r w:rsidR="003E0085">
        <w:rPr>
          <w:lang w:eastAsia="en-GB"/>
        </w:rPr>
        <w:t>events</w:t>
      </w:r>
      <w:r w:rsidR="003E0085" w:rsidRPr="00460DF2">
        <w:rPr>
          <w:lang w:eastAsia="en-GB"/>
        </w:rPr>
        <w:t xml:space="preserve"> </w:t>
      </w:r>
      <w:r w:rsidRPr="00460DF2">
        <w:rPr>
          <w:lang w:eastAsia="en-GB"/>
        </w:rPr>
        <w:t xml:space="preserve">and their longer-lasting effects. </w:t>
      </w:r>
      <w:r w:rsidR="003E0085">
        <w:rPr>
          <w:lang w:eastAsia="en-GB"/>
        </w:rPr>
        <w:t xml:space="preserve">If the person’s story is not </w:t>
      </w:r>
      <w:r w:rsidR="00083601">
        <w:rPr>
          <w:lang w:eastAsia="en-GB"/>
        </w:rPr>
        <w:t>considered,</w:t>
      </w:r>
      <w:r w:rsidR="003E0085">
        <w:rPr>
          <w:lang w:eastAsia="en-GB"/>
        </w:rPr>
        <w:t xml:space="preserve"> this could result in t</w:t>
      </w:r>
      <w:r w:rsidRPr="00460DF2">
        <w:rPr>
          <w:lang w:eastAsia="en-GB"/>
        </w:rPr>
        <w:t xml:space="preserve">ackling symptoms rather than addressing underlying causes. </w:t>
      </w:r>
    </w:p>
    <w:p w14:paraId="387BA9F5" w14:textId="77777777" w:rsidR="005F062F" w:rsidRPr="00E66F45" w:rsidRDefault="005F062F" w:rsidP="005F062F">
      <w:pPr>
        <w:pStyle w:val="BodyText"/>
        <w:rPr>
          <w:lang w:eastAsia="en-GB"/>
        </w:rPr>
      </w:pPr>
    </w:p>
    <w:p w14:paraId="3A525CF9" w14:textId="2DC35030" w:rsidR="00B14A6D" w:rsidRDefault="00B14A6D" w:rsidP="005F062F">
      <w:pPr>
        <w:pStyle w:val="BodyText"/>
        <w:rPr>
          <w:lang w:eastAsia="en-GB"/>
        </w:rPr>
      </w:pPr>
      <w:r w:rsidRPr="00031052">
        <w:rPr>
          <w:lang w:eastAsia="en-GB"/>
        </w:rPr>
        <w:t xml:space="preserve">The </w:t>
      </w:r>
      <w:r w:rsidR="00537E2D">
        <w:rPr>
          <w:lang w:eastAsia="en-GB"/>
        </w:rPr>
        <w:t>basis</w:t>
      </w:r>
      <w:r w:rsidRPr="00031052">
        <w:rPr>
          <w:lang w:eastAsia="en-GB"/>
        </w:rPr>
        <w:t xml:space="preserve"> for change</w:t>
      </w:r>
      <w:r w:rsidRPr="00460DF2">
        <w:rPr>
          <w:lang w:eastAsia="en-GB"/>
        </w:rPr>
        <w:t xml:space="preserve"> is a relationship with the </w:t>
      </w:r>
      <w:r w:rsidR="00CE3518">
        <w:rPr>
          <w:lang w:eastAsia="en-GB"/>
        </w:rPr>
        <w:t>person</w:t>
      </w:r>
      <w:r w:rsidRPr="00460DF2">
        <w:rPr>
          <w:lang w:eastAsia="en-GB"/>
        </w:rPr>
        <w:t xml:space="preserve">, which expresses professional curiosity about </w:t>
      </w:r>
      <w:r w:rsidR="00CE3518">
        <w:rPr>
          <w:lang w:eastAsia="en-GB"/>
        </w:rPr>
        <w:t>their</w:t>
      </w:r>
      <w:r w:rsidR="00CE3518" w:rsidRPr="00460DF2">
        <w:rPr>
          <w:lang w:eastAsia="en-GB"/>
        </w:rPr>
        <w:t xml:space="preserve"> </w:t>
      </w:r>
      <w:r w:rsidRPr="00460DF2">
        <w:rPr>
          <w:lang w:eastAsia="en-GB"/>
        </w:rPr>
        <w:t>experiences and what has led them to where they are now</w:t>
      </w:r>
      <w:r w:rsidR="00083601">
        <w:rPr>
          <w:lang w:eastAsia="en-GB"/>
        </w:rPr>
        <w:t xml:space="preserve">.  </w:t>
      </w:r>
      <w:r w:rsidRPr="00460DF2">
        <w:rPr>
          <w:lang w:eastAsia="en-GB"/>
        </w:rPr>
        <w:t xml:space="preserve"> </w:t>
      </w:r>
      <w:r w:rsidR="00083601">
        <w:rPr>
          <w:lang w:eastAsia="en-GB"/>
        </w:rPr>
        <w:t xml:space="preserve">The relationship should </w:t>
      </w:r>
      <w:r w:rsidRPr="00460DF2">
        <w:rPr>
          <w:lang w:eastAsia="en-GB"/>
        </w:rPr>
        <w:t>identify and build on the</w:t>
      </w:r>
      <w:r w:rsidR="00083601">
        <w:rPr>
          <w:lang w:eastAsia="en-GB"/>
        </w:rPr>
        <w:t xml:space="preserve"> person’s</w:t>
      </w:r>
      <w:r w:rsidRPr="00460DF2">
        <w:rPr>
          <w:lang w:eastAsia="en-GB"/>
        </w:rPr>
        <w:t xml:space="preserve"> strengths, goals and aspirations to keep them safe and promote their choices</w:t>
      </w:r>
      <w:r w:rsidR="00083601">
        <w:rPr>
          <w:lang w:eastAsia="en-GB"/>
        </w:rPr>
        <w:t>.</w:t>
      </w:r>
    </w:p>
    <w:p w14:paraId="38E802A0" w14:textId="77777777" w:rsidR="005F062F" w:rsidRPr="00460DF2" w:rsidRDefault="005F062F" w:rsidP="005F062F">
      <w:pPr>
        <w:pStyle w:val="BodyText"/>
        <w:rPr>
          <w:lang w:eastAsia="en-GB"/>
        </w:rPr>
      </w:pPr>
    </w:p>
    <w:p w14:paraId="04C5879D" w14:textId="37F22996" w:rsidR="00B14A6D" w:rsidRDefault="00B14A6D" w:rsidP="004053D0">
      <w:pPr>
        <w:pStyle w:val="NoSpacing"/>
      </w:pPr>
      <w:r w:rsidRPr="00E66F45">
        <w:t xml:space="preserve">It is not inevitable, but trauma is both a </w:t>
      </w:r>
      <w:r w:rsidR="00CE3518">
        <w:t xml:space="preserve">possible cause </w:t>
      </w:r>
      <w:r w:rsidRPr="00096873">
        <w:t xml:space="preserve">and can be the outcome of multiple and complex needs. </w:t>
      </w:r>
    </w:p>
    <w:p w14:paraId="25B897FA" w14:textId="77777777" w:rsidR="00B14A6D" w:rsidRPr="00096873" w:rsidRDefault="00B14A6D" w:rsidP="005B7AD5">
      <w:pPr>
        <w:pStyle w:val="NoSpacing"/>
      </w:pPr>
      <w:r w:rsidRPr="00096873">
        <w:t xml:space="preserve">Professional curiosity is an important approach in identifying the cause of behaviours that may appear dysfunctional. </w:t>
      </w:r>
    </w:p>
    <w:p w14:paraId="0177B26D" w14:textId="00E84DE7" w:rsidR="00B14A6D" w:rsidRPr="00460DF2" w:rsidRDefault="00B14A6D" w:rsidP="004053D0">
      <w:pPr>
        <w:pStyle w:val="NoSpacing"/>
      </w:pPr>
      <w:r w:rsidRPr="00096873">
        <w:t>A psychologically informed approach recognises the extent</w:t>
      </w:r>
      <w:r w:rsidR="00537E2D">
        <w:t xml:space="preserve"> </w:t>
      </w:r>
      <w:r w:rsidRPr="00096873">
        <w:t xml:space="preserve">and effect of </w:t>
      </w:r>
      <w:proofErr w:type="gramStart"/>
      <w:r w:rsidRPr="00096873">
        <w:t>trauma, and</w:t>
      </w:r>
      <w:proofErr w:type="gramEnd"/>
      <w:r w:rsidRPr="00096873">
        <w:t xml:space="preserve"> responds sensitively to it</w:t>
      </w:r>
      <w:r w:rsidR="00CE3518">
        <w:t xml:space="preserve">. This is possible when </w:t>
      </w:r>
      <w:r w:rsidRPr="00096873">
        <w:t>safe and respectful relationships</w:t>
      </w:r>
      <w:r w:rsidR="00B00E7B">
        <w:t xml:space="preserve"> are established. There needs to be</w:t>
      </w:r>
      <w:r w:rsidRPr="00096873">
        <w:t xml:space="preserve"> trust and transparency, careful use of language, compassion</w:t>
      </w:r>
      <w:r w:rsidRPr="00460DF2">
        <w:t xml:space="preserve"> and empathy, a willingness to connect emotionally and a readiness to learn from those with lived experience. </w:t>
      </w:r>
    </w:p>
    <w:p w14:paraId="16D55766" w14:textId="5255038B" w:rsidR="00B14A6D" w:rsidRPr="007E00A8" w:rsidRDefault="00B14A6D" w:rsidP="00537E2D">
      <w:pPr>
        <w:pStyle w:val="Heading2"/>
      </w:pPr>
      <w:bookmarkStart w:id="24" w:name="_Toc88473259"/>
      <w:bookmarkStart w:id="25" w:name="_Toc90455717"/>
      <w:r w:rsidRPr="00330277">
        <w:t xml:space="preserve">Exploring </w:t>
      </w:r>
      <w:r w:rsidR="004A520C">
        <w:t>n</w:t>
      </w:r>
      <w:r w:rsidRPr="00330277">
        <w:t>on-</w:t>
      </w:r>
      <w:r w:rsidR="004A520C">
        <w:t>e</w:t>
      </w:r>
      <w:r w:rsidRPr="00330277">
        <w:t>ngagement</w:t>
      </w:r>
      <w:bookmarkEnd w:id="24"/>
      <w:bookmarkEnd w:id="25"/>
      <w:r w:rsidRPr="00330277">
        <w:t xml:space="preserve">  </w:t>
      </w:r>
    </w:p>
    <w:p w14:paraId="11869C2E" w14:textId="0B4D4A6D" w:rsidR="00B14A6D" w:rsidRPr="00460DF2" w:rsidRDefault="00B14A6D" w:rsidP="00F049A7">
      <w:pPr>
        <w:rPr>
          <w:lang w:eastAsia="en-GB"/>
        </w:rPr>
      </w:pPr>
      <w:r w:rsidRPr="005F062F">
        <w:rPr>
          <w:rStyle w:val="BodyTextChar"/>
        </w:rPr>
        <w:t xml:space="preserve">Issues of social justice and oppression may make it more difficult for </w:t>
      </w:r>
      <w:r w:rsidR="00B00E7B" w:rsidRPr="005F062F">
        <w:rPr>
          <w:rStyle w:val="BodyTextChar"/>
        </w:rPr>
        <w:t xml:space="preserve">people with MCN </w:t>
      </w:r>
      <w:r w:rsidRPr="005F062F">
        <w:rPr>
          <w:rStyle w:val="BodyTextChar"/>
        </w:rPr>
        <w:t>to access support in relation to traumatic experiences, mental distress and substance misuse. Coercion and control from a third party may also impact on a</w:t>
      </w:r>
      <w:r w:rsidR="00B00E7B" w:rsidRPr="005F062F">
        <w:rPr>
          <w:rStyle w:val="BodyTextChar"/>
        </w:rPr>
        <w:t xml:space="preserve"> person’s</w:t>
      </w:r>
      <w:r w:rsidR="00B00E7B">
        <w:rPr>
          <w:lang w:eastAsia="en-GB"/>
        </w:rPr>
        <w:t xml:space="preserve"> ability to </w:t>
      </w:r>
      <w:r w:rsidRPr="00460DF2">
        <w:rPr>
          <w:lang w:eastAsia="en-GB"/>
        </w:rPr>
        <w:t>access care and support.</w:t>
      </w:r>
    </w:p>
    <w:p w14:paraId="7422460F" w14:textId="2F2CFE7B" w:rsidR="00B14A6D" w:rsidRPr="004053D0" w:rsidRDefault="00B14A6D" w:rsidP="004053D0">
      <w:pPr>
        <w:pStyle w:val="NoSpacing"/>
      </w:pPr>
      <w:r w:rsidRPr="004053D0">
        <w:t xml:space="preserve">Practitioners must question why a person did not engage by asking what they can do to </w:t>
      </w:r>
      <w:r w:rsidR="00B00E7B" w:rsidRPr="004053D0">
        <w:t xml:space="preserve">encourage </w:t>
      </w:r>
      <w:r w:rsidRPr="004053D0">
        <w:t>engagement.</w:t>
      </w:r>
    </w:p>
    <w:p w14:paraId="65C3DDE7" w14:textId="77777777" w:rsidR="00B14A6D" w:rsidRDefault="00B14A6D" w:rsidP="004053D0">
      <w:pPr>
        <w:pStyle w:val="NoSpacing"/>
      </w:pPr>
      <w:r w:rsidRPr="004053D0">
        <w:t>Where an individual may have substantial difficulty in maintaining their involvement, an advocate must be appointed to provide representation and support during</w:t>
      </w:r>
      <w:r w:rsidRPr="00460DF2">
        <w:t xml:space="preserve"> assessment, care planning and reviews.  </w:t>
      </w:r>
    </w:p>
    <w:p w14:paraId="29112E4F" w14:textId="4B839554" w:rsidR="00B14A6D" w:rsidRPr="00330277" w:rsidRDefault="00927FE6" w:rsidP="00537E2D">
      <w:pPr>
        <w:pStyle w:val="Heading2"/>
      </w:pPr>
      <w:bookmarkStart w:id="26" w:name="_Toc88473260"/>
      <w:bookmarkStart w:id="27" w:name="_Toc90455718"/>
      <w:r>
        <w:lastRenderedPageBreak/>
        <w:t>R</w:t>
      </w:r>
      <w:r w:rsidR="00B14A6D" w:rsidRPr="00330277">
        <w:t xml:space="preserve">isk </w:t>
      </w:r>
      <w:r w:rsidR="004A520C">
        <w:t>a</w:t>
      </w:r>
      <w:r w:rsidR="00B14A6D" w:rsidRPr="00330277">
        <w:t>ssessments</w:t>
      </w:r>
      <w:bookmarkEnd w:id="26"/>
      <w:bookmarkEnd w:id="27"/>
      <w:r w:rsidR="00B14A6D" w:rsidRPr="00330277">
        <w:t xml:space="preserve"> </w:t>
      </w:r>
    </w:p>
    <w:p w14:paraId="132A4C2B" w14:textId="1F2EC2C8" w:rsidR="00B14A6D" w:rsidRPr="00460DF2" w:rsidRDefault="00B14A6D" w:rsidP="00F049A7">
      <w:pPr>
        <w:rPr>
          <w:lang w:eastAsia="en-GB"/>
        </w:rPr>
      </w:pPr>
      <w:r w:rsidRPr="005F062F">
        <w:rPr>
          <w:rStyle w:val="BodyTextChar"/>
        </w:rPr>
        <w:t>Effective safeguarding depends on robust risk assessment</w:t>
      </w:r>
      <w:r w:rsidR="002D440E" w:rsidRPr="005F062F">
        <w:rPr>
          <w:rStyle w:val="BodyTextChar"/>
        </w:rPr>
        <w:t xml:space="preserve"> which </w:t>
      </w:r>
      <w:r w:rsidRPr="005F062F">
        <w:rPr>
          <w:rStyle w:val="BodyTextChar"/>
        </w:rPr>
        <w:t>explores both the likelihood of different risks arising and their potential significance. Different narratives can obstruct</w:t>
      </w:r>
      <w:r w:rsidRPr="00460DF2">
        <w:rPr>
          <w:lang w:eastAsia="en-GB"/>
        </w:rPr>
        <w:t xml:space="preserve"> risk assessment:</w:t>
      </w:r>
    </w:p>
    <w:p w14:paraId="41F757B6" w14:textId="66E923D6" w:rsidR="00B14A6D" w:rsidRPr="004053D0" w:rsidRDefault="00B14A6D" w:rsidP="004053D0">
      <w:pPr>
        <w:pStyle w:val="NoSpacing"/>
      </w:pPr>
      <w:r w:rsidRPr="004053D0">
        <w:t>One narrative is the assumption of “lifestyle choice</w:t>
      </w:r>
      <w:r w:rsidR="00F92F33">
        <w:t>”</w:t>
      </w:r>
      <w:r w:rsidRPr="004053D0">
        <w:t>. For example, with individuals who are alcohol-dependent, it is easy to view them as choosing their lifestyle, but the reality is likely to be more complex.</w:t>
      </w:r>
    </w:p>
    <w:p w14:paraId="3E4B697A" w14:textId="5408C4C3" w:rsidR="00B14A6D" w:rsidRPr="004053D0" w:rsidRDefault="00B14A6D" w:rsidP="004053D0">
      <w:pPr>
        <w:pStyle w:val="NoSpacing"/>
      </w:pPr>
      <w:r w:rsidRPr="004053D0">
        <w:t xml:space="preserve">Another is the assumption that an individual can protect themselves. These narratives can lead practitioners to under-estimate risk. </w:t>
      </w:r>
    </w:p>
    <w:p w14:paraId="6E1A3BB1" w14:textId="4D114416" w:rsidR="00B14A6D" w:rsidRPr="004053D0" w:rsidRDefault="00E66F45" w:rsidP="004053D0">
      <w:pPr>
        <w:pStyle w:val="NoSpacing"/>
      </w:pPr>
      <w:r w:rsidRPr="004053D0">
        <w:t>T</w:t>
      </w:r>
      <w:r w:rsidR="00B14A6D" w:rsidRPr="004053D0">
        <w:t xml:space="preserve">he neglect of an individual’s strengths and resilience can lead to an </w:t>
      </w:r>
      <w:r w:rsidR="009D78DD">
        <w:br/>
      </w:r>
      <w:r w:rsidR="00B14A6D" w:rsidRPr="004053D0">
        <w:t xml:space="preserve">over-estimation of risk. </w:t>
      </w:r>
    </w:p>
    <w:p w14:paraId="2B8167DF" w14:textId="58539425" w:rsidR="00B14A6D" w:rsidRDefault="00B14A6D" w:rsidP="005F062F">
      <w:pPr>
        <w:pStyle w:val="BodyText"/>
      </w:pPr>
      <w:r w:rsidRPr="005F062F">
        <w:t xml:space="preserve">The aim of a robust risk assessment is to build a relationship with a </w:t>
      </w:r>
      <w:r w:rsidR="009D78DD" w:rsidRPr="005F062F">
        <w:t>person</w:t>
      </w:r>
      <w:r w:rsidRPr="005F062F">
        <w:t xml:space="preserve"> that can support respectful challenge and dialogue about how to mitigate (rather than remove all) risk and agree objectives relating to wellbeing and autonomy. </w:t>
      </w:r>
    </w:p>
    <w:p w14:paraId="64B04C97" w14:textId="77777777" w:rsidR="005F062F" w:rsidRPr="005F062F" w:rsidRDefault="005F062F" w:rsidP="005F062F">
      <w:pPr>
        <w:pStyle w:val="BodyText"/>
      </w:pPr>
    </w:p>
    <w:p w14:paraId="1E7A9853" w14:textId="28482291" w:rsidR="00B14A6D" w:rsidRDefault="00B14A6D" w:rsidP="005F062F">
      <w:pPr>
        <w:pStyle w:val="BodyText"/>
      </w:pPr>
      <w:r w:rsidRPr="005F062F">
        <w:t xml:space="preserve">Where the duty to undertake a safeguarding enquiry is not met, the </w:t>
      </w:r>
      <w:r w:rsidR="00F92F33">
        <w:t>l</w:t>
      </w:r>
      <w:r w:rsidRPr="005F062F">
        <w:t xml:space="preserve">ocal </w:t>
      </w:r>
      <w:r w:rsidR="00F92F33">
        <w:t>a</w:t>
      </w:r>
      <w:r w:rsidRPr="005F062F">
        <w:t>uthority must still consider and record how any identified risk will be mitigated</w:t>
      </w:r>
      <w:r w:rsidR="00C975E8" w:rsidRPr="005F062F">
        <w:t xml:space="preserve">. This could be </w:t>
      </w:r>
      <w:r w:rsidRPr="005F062F">
        <w:t>by referral to another agency and/or convening a multi-agency risk management meeting to agree a plan.</w:t>
      </w:r>
    </w:p>
    <w:p w14:paraId="62DF6F5C" w14:textId="77777777" w:rsidR="005F062F" w:rsidRPr="005F062F" w:rsidRDefault="005F062F" w:rsidP="005F062F">
      <w:pPr>
        <w:pStyle w:val="BodyText"/>
      </w:pPr>
    </w:p>
    <w:p w14:paraId="60327879" w14:textId="16ACB623" w:rsidR="00B14A6D" w:rsidRPr="00927FE6" w:rsidRDefault="00B14A6D" w:rsidP="005F062F">
      <w:pPr>
        <w:pStyle w:val="BodyText"/>
      </w:pPr>
      <w:r w:rsidRPr="005F062F">
        <w:t xml:space="preserve">There may be occasions where all options have been explored within current threshold criteria and </w:t>
      </w:r>
      <w:r w:rsidR="00C975E8" w:rsidRPr="005F062F">
        <w:t xml:space="preserve">it is still not possible to reduce the level of risk.  If after consultation with </w:t>
      </w:r>
      <w:r w:rsidRPr="005F062F">
        <w:t>existing multi-agency functions (</w:t>
      </w:r>
      <w:r w:rsidR="0043143B" w:rsidRPr="005F062F">
        <w:t>for example</w:t>
      </w:r>
      <w:r w:rsidRPr="005F062F">
        <w:t xml:space="preserve"> safeguarding adult, MARAC, MAPPA etc) professionals may want to consider referring the individual to the </w:t>
      </w:r>
      <w:r w:rsidRPr="00F92F33">
        <w:t>Multi-agency</w:t>
      </w:r>
      <w:r w:rsidRPr="000513F8">
        <w:rPr>
          <w:shd w:val="clear" w:color="auto" w:fill="FFFFFF"/>
        </w:rPr>
        <w:t xml:space="preserve"> Risk Management </w:t>
      </w:r>
      <w:r w:rsidR="00F92F33" w:rsidRPr="000513F8">
        <w:rPr>
          <w:shd w:val="clear" w:color="auto" w:fill="FFFFFF"/>
        </w:rPr>
        <w:t xml:space="preserve">(MARM) </w:t>
      </w:r>
      <w:r w:rsidRPr="000513F8">
        <w:rPr>
          <w:shd w:val="clear" w:color="auto" w:fill="FFFFFF"/>
        </w:rPr>
        <w:t xml:space="preserve">group to help </w:t>
      </w:r>
      <w:r w:rsidRPr="000513F8">
        <w:rPr>
          <w:rFonts w:eastAsia="Times New Roman"/>
          <w:lang w:eastAsia="en-GB"/>
        </w:rPr>
        <w:t>identify strategic and operational actions to manage and mitigate risk</w:t>
      </w:r>
      <w:r w:rsidRPr="00F92F33">
        <w:rPr>
          <w:lang w:eastAsia="en-GB"/>
        </w:rPr>
        <w:t>.</w:t>
      </w:r>
    </w:p>
    <w:p w14:paraId="65089B30" w14:textId="578A9974" w:rsidR="00B14A6D" w:rsidRPr="007E00A8" w:rsidRDefault="00927FE6" w:rsidP="00537E2D">
      <w:pPr>
        <w:pStyle w:val="Heading2"/>
      </w:pPr>
      <w:bookmarkStart w:id="28" w:name="_Toc88473261"/>
      <w:bookmarkStart w:id="29" w:name="_Toc90455719"/>
      <w:r>
        <w:t>M</w:t>
      </w:r>
      <w:r w:rsidR="00B14A6D" w:rsidRPr="00330277">
        <w:t xml:space="preserve">ental </w:t>
      </w:r>
      <w:r w:rsidR="004A520C">
        <w:t>c</w:t>
      </w:r>
      <w:r w:rsidR="00B14A6D" w:rsidRPr="00330277">
        <w:t xml:space="preserve">apacity </w:t>
      </w:r>
      <w:r w:rsidR="004A520C">
        <w:t>a</w:t>
      </w:r>
      <w:r w:rsidR="00B14A6D" w:rsidRPr="00330277">
        <w:t>ssessments</w:t>
      </w:r>
      <w:bookmarkEnd w:id="28"/>
      <w:bookmarkEnd w:id="29"/>
    </w:p>
    <w:p w14:paraId="16366BD0" w14:textId="78664A4B" w:rsidR="00B14A6D" w:rsidRPr="00460DF2" w:rsidRDefault="00B14A6D" w:rsidP="00F049A7">
      <w:pPr>
        <w:rPr>
          <w:lang w:eastAsia="en-GB"/>
        </w:rPr>
      </w:pPr>
      <w:r w:rsidRPr="005F062F">
        <w:rPr>
          <w:rStyle w:val="BodyTextChar"/>
        </w:rPr>
        <w:t xml:space="preserve">When working with people with </w:t>
      </w:r>
      <w:r w:rsidR="00C975E8" w:rsidRPr="005F062F">
        <w:rPr>
          <w:rStyle w:val="BodyTextChar"/>
        </w:rPr>
        <w:t>MCN</w:t>
      </w:r>
      <w:r w:rsidRPr="005F062F">
        <w:rPr>
          <w:rStyle w:val="BodyTextChar"/>
        </w:rPr>
        <w:t>, some of whom will be using alcohol and</w:t>
      </w:r>
      <w:r w:rsidR="00C975E8" w:rsidRPr="005F062F">
        <w:rPr>
          <w:rStyle w:val="BodyTextChar"/>
        </w:rPr>
        <w:t>/</w:t>
      </w:r>
      <w:r w:rsidRPr="005F062F">
        <w:rPr>
          <w:rStyle w:val="BodyTextChar"/>
        </w:rPr>
        <w:t xml:space="preserve">or other drugs, an accurate interpretation </w:t>
      </w:r>
      <w:r w:rsidR="00F92F33">
        <w:rPr>
          <w:rStyle w:val="BodyTextChar"/>
        </w:rPr>
        <w:t xml:space="preserve">and application </w:t>
      </w:r>
      <w:r w:rsidRPr="005F062F">
        <w:rPr>
          <w:rStyle w:val="BodyTextChar"/>
        </w:rPr>
        <w:t>of</w:t>
      </w:r>
      <w:r w:rsidR="00F92F33">
        <w:rPr>
          <w:rStyle w:val="BodyTextChar"/>
        </w:rPr>
        <w:t xml:space="preserve"> the principles of the</w:t>
      </w:r>
      <w:r w:rsidRPr="005F062F">
        <w:rPr>
          <w:rStyle w:val="BodyTextChar"/>
        </w:rPr>
        <w:t xml:space="preserve"> </w:t>
      </w:r>
      <w:hyperlink r:id="rId19" w:history="1">
        <w:r w:rsidRPr="00F92F33">
          <w:rPr>
            <w:rStyle w:val="Hyperlink"/>
            <w:rFonts w:eastAsia="Calibri" w:cs="Arial"/>
          </w:rPr>
          <w:t>Mental Capacity Act</w:t>
        </w:r>
        <w:r w:rsidR="00CA3CF1">
          <w:rPr>
            <w:rStyle w:val="Hyperlink"/>
            <w:rFonts w:eastAsia="Calibri" w:cs="Arial"/>
          </w:rPr>
          <w:t xml:space="preserve"> (MCA)</w:t>
        </w:r>
        <w:r w:rsidRPr="00F92F33">
          <w:rPr>
            <w:rStyle w:val="Hyperlink"/>
            <w:rFonts w:eastAsia="Calibri" w:cs="Arial"/>
          </w:rPr>
          <w:t xml:space="preserve"> 2005</w:t>
        </w:r>
      </w:hyperlink>
      <w:r w:rsidRPr="005F062F">
        <w:rPr>
          <w:rStyle w:val="BodyTextChar"/>
        </w:rPr>
        <w:t xml:space="preserve"> is essential</w:t>
      </w:r>
      <w:r w:rsidRPr="00460DF2">
        <w:rPr>
          <w:lang w:eastAsia="en-GB"/>
        </w:rPr>
        <w:t xml:space="preserve">. </w:t>
      </w:r>
    </w:p>
    <w:p w14:paraId="40D2C934" w14:textId="77777777" w:rsidR="00B14A6D" w:rsidRPr="004053D0" w:rsidRDefault="00B14A6D" w:rsidP="004053D0">
      <w:pPr>
        <w:pStyle w:val="NoSpacing"/>
      </w:pPr>
      <w:r w:rsidRPr="004053D0">
        <w:t xml:space="preserve">The presumption of capacity should not be read as meaning that there is no need to investigate capacity. An apparently unwise decision may be reason to doubt capacity and to complete an assessment. </w:t>
      </w:r>
    </w:p>
    <w:p w14:paraId="446B7028" w14:textId="2A7C25DF" w:rsidR="00B14A6D" w:rsidRPr="004053D0" w:rsidRDefault="00B14A6D" w:rsidP="004053D0">
      <w:pPr>
        <w:pStyle w:val="NoSpacing"/>
      </w:pPr>
      <w:r w:rsidRPr="004053D0">
        <w:t>Reliance must not be placed solely on what a person says. Adverse experiences, trauma and prolonged substance misuse use can result in frontal lobe brain damage, which can affect an individual’s behaviour</w:t>
      </w:r>
      <w:r w:rsidR="00A84488" w:rsidRPr="004053D0">
        <w:t xml:space="preserve">. This could be </w:t>
      </w:r>
      <w:r w:rsidR="007F21C8" w:rsidRPr="004053D0">
        <w:t>a</w:t>
      </w:r>
      <w:r w:rsidR="00A84488" w:rsidRPr="004053D0">
        <w:t xml:space="preserve"> reason to undertake </w:t>
      </w:r>
      <w:r w:rsidR="00D0668B" w:rsidRPr="004053D0">
        <w:t xml:space="preserve">a </w:t>
      </w:r>
      <w:r w:rsidRPr="004053D0">
        <w:t xml:space="preserve">mental capacity assessment. Assessing </w:t>
      </w:r>
      <w:r w:rsidRPr="004053D0">
        <w:lastRenderedPageBreak/>
        <w:t xml:space="preserve">the </w:t>
      </w:r>
      <w:r w:rsidR="001935EC" w:rsidRPr="004053D0">
        <w:t xml:space="preserve">person’s </w:t>
      </w:r>
      <w:r w:rsidRPr="004053D0">
        <w:t xml:space="preserve">ability to put a decision into effect (executive functioning) is therefore essential. </w:t>
      </w:r>
    </w:p>
    <w:p w14:paraId="68BA94A8" w14:textId="75A7CBD5" w:rsidR="00B14A6D" w:rsidRDefault="00B14A6D" w:rsidP="004053D0">
      <w:pPr>
        <w:pStyle w:val="NoSpacing"/>
      </w:pPr>
      <w:r w:rsidRPr="004053D0">
        <w:t>It may be difficult to</w:t>
      </w:r>
      <w:r w:rsidRPr="00460DF2">
        <w:rPr>
          <w:shd w:val="clear" w:color="auto" w:fill="FFFFFF"/>
        </w:rPr>
        <w:t xml:space="preserve"> assess capacity in people with executive dysfunction. </w:t>
      </w:r>
      <w:r w:rsidRPr="00460DF2">
        <w:t>Structured assessments of capacity may need to be supplemented by observation of the person's functioning and decision-making ability to provide the assessor with a complete picture</w:t>
      </w:r>
      <w:r w:rsidR="001935EC">
        <w:t>.</w:t>
      </w:r>
      <w:r w:rsidRPr="006E1E12">
        <w:rPr>
          <w:highlight w:val="yellow"/>
        </w:rPr>
        <w:t xml:space="preserve"> </w:t>
      </w:r>
    </w:p>
    <w:p w14:paraId="05F49889" w14:textId="57F1D8CB" w:rsidR="00B14A6D" w:rsidRPr="003A26B6" w:rsidRDefault="00B14A6D" w:rsidP="00F049A7">
      <w:pPr>
        <w:rPr>
          <w:lang w:eastAsia="en-GB"/>
        </w:rPr>
      </w:pPr>
      <w:r w:rsidRPr="005F062F">
        <w:rPr>
          <w:rStyle w:val="BodyTextChar"/>
        </w:rPr>
        <w:t xml:space="preserve">Executive capacity is relevant where the individual has addictive or compulsive behaviours. This highlights the importance of considering </w:t>
      </w:r>
      <w:bookmarkStart w:id="30" w:name="_Hlk83085676"/>
      <w:r w:rsidRPr="005F062F">
        <w:rPr>
          <w:rStyle w:val="BodyTextChar"/>
        </w:rPr>
        <w:t xml:space="preserve">the individual’s ability to </w:t>
      </w:r>
      <w:r w:rsidR="001935EC" w:rsidRPr="005F062F">
        <w:rPr>
          <w:rStyle w:val="BodyTextChar"/>
        </w:rPr>
        <w:t xml:space="preserve">make a decision (decisional capacity) </w:t>
      </w:r>
      <w:r w:rsidR="00096873" w:rsidRPr="005F062F">
        <w:rPr>
          <w:rStyle w:val="BodyTextChar"/>
        </w:rPr>
        <w:t>in addition to their ability to</w:t>
      </w:r>
      <w:r w:rsidR="001935EC" w:rsidRPr="005F062F">
        <w:rPr>
          <w:rStyle w:val="BodyTextChar"/>
        </w:rPr>
        <w:t xml:space="preserve"> </w:t>
      </w:r>
      <w:r w:rsidRPr="005F062F">
        <w:rPr>
          <w:rStyle w:val="BodyTextChar"/>
        </w:rPr>
        <w:t xml:space="preserve">put a decision into effect </w:t>
      </w:r>
      <w:bookmarkEnd w:id="30"/>
      <w:r w:rsidRPr="005F062F">
        <w:rPr>
          <w:rStyle w:val="BodyTextChar"/>
        </w:rPr>
        <w:t>(executive</w:t>
      </w:r>
      <w:r w:rsidRPr="003A26B6">
        <w:rPr>
          <w:lang w:eastAsia="en-GB"/>
        </w:rPr>
        <w:t xml:space="preserve"> capacity)</w:t>
      </w:r>
      <w:r w:rsidR="00096873">
        <w:rPr>
          <w:lang w:eastAsia="en-GB"/>
        </w:rPr>
        <w:t>:</w:t>
      </w:r>
      <w:r w:rsidRPr="003A26B6">
        <w:rPr>
          <w:lang w:eastAsia="en-GB"/>
        </w:rPr>
        <w:t xml:space="preserve"> </w:t>
      </w:r>
    </w:p>
    <w:p w14:paraId="0FE5D5C6" w14:textId="6BED6F4D" w:rsidR="00B14A6D" w:rsidRPr="007364AC" w:rsidRDefault="00B14A6D" w:rsidP="007364AC">
      <w:pPr>
        <w:pStyle w:val="NoSpacing"/>
      </w:pPr>
      <w:r w:rsidRPr="007364AC">
        <w:t xml:space="preserve">An individual may be driven by compulsions that are too strong for them to ignore. Their actions may contradict their stated intention, for example to control their alcohol use. In other words, they are unable to carry </w:t>
      </w:r>
      <w:r w:rsidR="00096873" w:rsidRPr="007364AC">
        <w:t xml:space="preserve">out </w:t>
      </w:r>
      <w:r w:rsidRPr="007364AC">
        <w:t xml:space="preserve">decisions that they have made. </w:t>
      </w:r>
    </w:p>
    <w:p w14:paraId="7F46D59B" w14:textId="77777777" w:rsidR="00B14A6D" w:rsidRPr="00F470AF" w:rsidRDefault="00B14A6D" w:rsidP="007364AC">
      <w:pPr>
        <w:pStyle w:val="NoSpacing"/>
      </w:pPr>
      <w:r w:rsidRPr="007364AC">
        <w:t>The compulsion associated with an addictive behaviour can impair an individual’s ability to understand and weigh up the relevant information for the purposes</w:t>
      </w:r>
      <w:r w:rsidRPr="00460DF2">
        <w:t xml:space="preserve"> of completing a mental capacity assessment. Assessing the capacity of dependent alcohol drinkers or substance users is complex and it should involve multi-agency discussion and advice from legal services. </w:t>
      </w:r>
    </w:p>
    <w:p w14:paraId="5B7DA2DA" w14:textId="073D1BDB" w:rsidR="00B14A6D" w:rsidRDefault="00B14A6D" w:rsidP="008278BE">
      <w:pPr>
        <w:pStyle w:val="BodyText"/>
        <w:rPr>
          <w:lang w:eastAsia="en-GB"/>
        </w:rPr>
      </w:pPr>
      <w:r w:rsidRPr="005F062F">
        <w:rPr>
          <w:rStyle w:val="BodyTextChar"/>
        </w:rPr>
        <w:t xml:space="preserve">Some adults may have fluctuating capacity. It may occur </w:t>
      </w:r>
      <w:r w:rsidR="00096873" w:rsidRPr="005F062F">
        <w:rPr>
          <w:rStyle w:val="BodyTextChar"/>
        </w:rPr>
        <w:t>because of</w:t>
      </w:r>
      <w:r w:rsidRPr="005F062F">
        <w:rPr>
          <w:rStyle w:val="BodyTextChar"/>
        </w:rPr>
        <w:t xml:space="preserve"> their lifestyle or behaviour, and lead to making</w:t>
      </w:r>
      <w:r w:rsidRPr="003A26B6">
        <w:rPr>
          <w:lang w:eastAsia="en-GB"/>
        </w:rPr>
        <w:t xml:space="preserve"> an unwise decision, for example:</w:t>
      </w:r>
    </w:p>
    <w:p w14:paraId="064B36BC" w14:textId="77777777" w:rsidR="008278BE" w:rsidRPr="003A26B6" w:rsidRDefault="008278BE" w:rsidP="008278BE">
      <w:pPr>
        <w:pStyle w:val="BodyText"/>
        <w:rPr>
          <w:color w:val="464B51"/>
          <w:lang w:eastAsia="en-GB"/>
        </w:rPr>
      </w:pPr>
    </w:p>
    <w:p w14:paraId="7DDD75A9" w14:textId="77777777" w:rsidR="00B14A6D" w:rsidRPr="00FC21DA" w:rsidRDefault="00B14A6D" w:rsidP="007364AC">
      <w:pPr>
        <w:pStyle w:val="NoSpacing"/>
      </w:pPr>
      <w:r w:rsidRPr="00FC21DA">
        <w:t>An adult may decline treatment for an overdose when under the influence of alcohol.</w:t>
      </w:r>
    </w:p>
    <w:p w14:paraId="33F7C6E3" w14:textId="77777777" w:rsidR="00B14A6D" w:rsidRPr="00FC21DA" w:rsidRDefault="00B14A6D" w:rsidP="007364AC">
      <w:pPr>
        <w:pStyle w:val="NoSpacing"/>
      </w:pPr>
      <w:r w:rsidRPr="00FC21DA">
        <w:t>An adult may prioritise a substance over a serious health need.</w:t>
      </w:r>
    </w:p>
    <w:p w14:paraId="4395BAEC" w14:textId="7BE1CE2C" w:rsidR="00B14A6D" w:rsidRPr="00FC21DA" w:rsidRDefault="00B14A6D" w:rsidP="007364AC">
      <w:pPr>
        <w:pStyle w:val="NoSpacing"/>
      </w:pPr>
      <w:r w:rsidRPr="00FC21DA">
        <w:t xml:space="preserve">An adult experiencing very high levels of distress and making unwise decisions such as those </w:t>
      </w:r>
      <w:r w:rsidR="00096873">
        <w:t xml:space="preserve">made by someone </w:t>
      </w:r>
      <w:r w:rsidRPr="00FC21DA">
        <w:t>with emotionally unstable personality disorder.</w:t>
      </w:r>
    </w:p>
    <w:p w14:paraId="6230BC02" w14:textId="30C01788" w:rsidR="00B14A6D" w:rsidRDefault="00B14A6D" w:rsidP="005F062F">
      <w:pPr>
        <w:pStyle w:val="BodyText"/>
        <w:rPr>
          <w:lang w:eastAsia="en-GB"/>
        </w:rPr>
      </w:pPr>
      <w:r w:rsidRPr="00FC21DA">
        <w:rPr>
          <w:lang w:eastAsia="en-GB"/>
        </w:rPr>
        <w:t>This fluctuation can take place over days or weeks, or over the course of a day. Consideration should be given to undertaking the mental capacity assessment at a time when the adult is at their highest level of functioning.</w:t>
      </w:r>
    </w:p>
    <w:p w14:paraId="54538097" w14:textId="77777777" w:rsidR="005F062F" w:rsidRPr="00FC21DA" w:rsidRDefault="005F062F" w:rsidP="005F062F">
      <w:pPr>
        <w:pStyle w:val="BodyText"/>
        <w:rPr>
          <w:lang w:eastAsia="en-GB"/>
        </w:rPr>
      </w:pPr>
    </w:p>
    <w:p w14:paraId="5BC9B64A" w14:textId="15A8D932" w:rsidR="00CA3CF1" w:rsidRDefault="00B14A6D" w:rsidP="000513F8">
      <w:pPr>
        <w:pStyle w:val="BodyText"/>
      </w:pPr>
      <w:r w:rsidRPr="00F470AF">
        <w:t xml:space="preserve">If an adult is subject to coercion and control or undue influence by another person this may impair their judgement and could impact on their ability to make decisions about their safety. </w:t>
      </w:r>
      <w:r w:rsidR="00CA3CF1" w:rsidRPr="00EB4F25">
        <w:t xml:space="preserve">Supporting people who are subject to coercion is often complex and challenging. </w:t>
      </w:r>
    </w:p>
    <w:p w14:paraId="09A0FEB3" w14:textId="0057E0F6" w:rsidR="000513F8" w:rsidRDefault="000513F8" w:rsidP="000513F8">
      <w:pPr>
        <w:pStyle w:val="BodyText"/>
      </w:pPr>
    </w:p>
    <w:p w14:paraId="465DFF3B" w14:textId="1F154750" w:rsidR="000513F8" w:rsidRDefault="000513F8" w:rsidP="000513F8">
      <w:pPr>
        <w:pStyle w:val="BodyText"/>
      </w:pPr>
    </w:p>
    <w:p w14:paraId="0E5D97DD" w14:textId="77777777" w:rsidR="000513F8" w:rsidRPr="00031052" w:rsidRDefault="000513F8" w:rsidP="000513F8">
      <w:pPr>
        <w:pStyle w:val="BodyText"/>
      </w:pPr>
    </w:p>
    <w:p w14:paraId="7715B4B1" w14:textId="535DC8E5" w:rsidR="003D56AD" w:rsidRDefault="00B14A6D" w:rsidP="005F062F">
      <w:pPr>
        <w:pStyle w:val="BodyText"/>
      </w:pPr>
      <w:r w:rsidRPr="00F470AF">
        <w:lastRenderedPageBreak/>
        <w:t>If this is the case, professionals need to:</w:t>
      </w:r>
    </w:p>
    <w:p w14:paraId="4FF0E1F1" w14:textId="77777777" w:rsidR="000513F8" w:rsidRPr="00F470AF" w:rsidRDefault="000513F8" w:rsidP="005F062F">
      <w:pPr>
        <w:pStyle w:val="BodyText"/>
        <w:rPr>
          <w:rFonts w:eastAsia="Times New Roman"/>
          <w:color w:val="464B51"/>
          <w:lang w:eastAsia="en-GB"/>
        </w:rPr>
      </w:pPr>
    </w:p>
    <w:p w14:paraId="39A721B5" w14:textId="7AA8D253" w:rsidR="00D51548" w:rsidRPr="00031052" w:rsidRDefault="00D51548" w:rsidP="00031052">
      <w:pPr>
        <w:pStyle w:val="NoSpacing"/>
      </w:pPr>
      <w:bookmarkStart w:id="31" w:name="_Hlk88235289"/>
      <w:r w:rsidRPr="00EB4F25">
        <w:t xml:space="preserve">Work with the person, to explore options that may be available to keep them safe. </w:t>
      </w:r>
    </w:p>
    <w:p w14:paraId="5BC4F192" w14:textId="77777777" w:rsidR="00D51548" w:rsidRPr="00031052" w:rsidRDefault="00D51548" w:rsidP="00031052">
      <w:pPr>
        <w:pStyle w:val="NoSpacing"/>
      </w:pPr>
      <w:r w:rsidRPr="00EB4F25">
        <w:t>If the situation cannot be resolved in other ways, professionals may need to seek legal advice regarding whether to apply to the High Court for orders under the inherent jurisdiction.</w:t>
      </w:r>
    </w:p>
    <w:bookmarkEnd w:id="31"/>
    <w:p w14:paraId="7C824813" w14:textId="77777777" w:rsidR="00B14A6D" w:rsidRPr="00460DF2" w:rsidRDefault="00B14A6D" w:rsidP="00EB4F25">
      <w:pPr>
        <w:pStyle w:val="NoSpacing"/>
      </w:pPr>
      <w:r w:rsidRPr="00EB4F25">
        <w:t xml:space="preserve">If an adult refuses intervention to support them with a safeguarding concern, or requests that information about them is not shared with other safeguarding partners, in general, their wishes should be respected. </w:t>
      </w:r>
      <w:r w:rsidRPr="005F062F">
        <w:rPr>
          <w:rStyle w:val="BodyTextChar"/>
        </w:rPr>
        <w:t>However, there are circumstances where professionals can reasonably override</w:t>
      </w:r>
      <w:r w:rsidRPr="00460DF2">
        <w:t xml:space="preserve"> such a decision, including when: </w:t>
      </w:r>
    </w:p>
    <w:p w14:paraId="731C5EE5" w14:textId="0BAB1698" w:rsidR="00B14A6D" w:rsidRPr="007D4081" w:rsidRDefault="00B14A6D" w:rsidP="007D4081">
      <w:pPr>
        <w:pStyle w:val="Bullet2"/>
      </w:pPr>
      <w:r w:rsidRPr="007D4081">
        <w:t>The adult lacks the mental capacity to make that decision – this must be properly assessed and recorded in line with the M</w:t>
      </w:r>
      <w:r w:rsidR="00CA3CF1">
        <w:t>CA.</w:t>
      </w:r>
    </w:p>
    <w:p w14:paraId="2271736D" w14:textId="6B3DF569" w:rsidR="00B14A6D" w:rsidRPr="007D4081" w:rsidRDefault="00B14A6D" w:rsidP="007D4081">
      <w:pPr>
        <w:pStyle w:val="Bullet2"/>
      </w:pPr>
      <w:r w:rsidRPr="007D4081">
        <w:t>Emergency or life-threatening situations may warrant the sharing of relevant information with the emergency services without consent</w:t>
      </w:r>
      <w:r w:rsidR="00CA3CF1">
        <w:t>.</w:t>
      </w:r>
    </w:p>
    <w:p w14:paraId="7565D65D" w14:textId="42FCB721" w:rsidR="00B14A6D" w:rsidRPr="007D4081" w:rsidRDefault="00B14A6D" w:rsidP="007D4081">
      <w:pPr>
        <w:pStyle w:val="Bullet2"/>
      </w:pPr>
      <w:r w:rsidRPr="007D4081">
        <w:t>Other people are, or may be, at risk, including children</w:t>
      </w:r>
      <w:r w:rsidR="00CA3CF1">
        <w:t>.</w:t>
      </w:r>
    </w:p>
    <w:p w14:paraId="5EDDAFB6" w14:textId="740A3BBC" w:rsidR="00B14A6D" w:rsidRPr="007D4081" w:rsidRDefault="00B14A6D" w:rsidP="007D4081">
      <w:pPr>
        <w:pStyle w:val="Bullet2"/>
      </w:pPr>
      <w:r w:rsidRPr="007D4081">
        <w:t>Sharing the information could prevent a serious crime</w:t>
      </w:r>
      <w:r w:rsidR="00CA3CF1">
        <w:t>.</w:t>
      </w:r>
    </w:p>
    <w:p w14:paraId="79AAB1C1" w14:textId="47A297D4" w:rsidR="00B14A6D" w:rsidRPr="007D4081" w:rsidRDefault="00B14A6D" w:rsidP="007D4081">
      <w:pPr>
        <w:pStyle w:val="Bullet2"/>
      </w:pPr>
      <w:r w:rsidRPr="007D4081">
        <w:t>A serious crime has been committed</w:t>
      </w:r>
      <w:r w:rsidR="00CA3CF1">
        <w:t>.</w:t>
      </w:r>
      <w:r w:rsidRPr="007D4081">
        <w:t xml:space="preserve"> </w:t>
      </w:r>
    </w:p>
    <w:p w14:paraId="247234BF" w14:textId="43A775A9" w:rsidR="00B14A6D" w:rsidRPr="007D4081" w:rsidRDefault="00B14A6D" w:rsidP="007D4081">
      <w:pPr>
        <w:pStyle w:val="Bullet2"/>
      </w:pPr>
      <w:r w:rsidRPr="007D4081">
        <w:t xml:space="preserve">The risk is unreasonably high and duty of care to the individual or others </w:t>
      </w:r>
      <w:r w:rsidR="00096873" w:rsidRPr="007D4081">
        <w:t>must</w:t>
      </w:r>
      <w:r w:rsidRPr="007D4081">
        <w:t xml:space="preserve"> be considered</w:t>
      </w:r>
      <w:r w:rsidR="00CA3CF1">
        <w:t>.</w:t>
      </w:r>
    </w:p>
    <w:p w14:paraId="4C5E5223" w14:textId="0A599F7A" w:rsidR="00B14A6D" w:rsidRPr="007D4081" w:rsidRDefault="00B14A6D" w:rsidP="007D4081">
      <w:pPr>
        <w:pStyle w:val="Bullet2"/>
      </w:pPr>
      <w:r w:rsidRPr="007D4081">
        <w:t>Staff in a position of trust are implicated</w:t>
      </w:r>
      <w:r w:rsidR="00CA3CF1">
        <w:t>.</w:t>
      </w:r>
    </w:p>
    <w:p w14:paraId="2C30F75A" w14:textId="266F6824" w:rsidR="00F049A7" w:rsidRPr="007D4081" w:rsidRDefault="00B14A6D" w:rsidP="007D4081">
      <w:pPr>
        <w:pStyle w:val="Bullet2"/>
      </w:pPr>
      <w:r w:rsidRPr="007D4081">
        <w:t xml:space="preserve">There is a court order or other legal authority for </w:t>
      </w:r>
      <w:proofErr w:type="gramStart"/>
      <w:r w:rsidRPr="007D4081">
        <w:t>taking action</w:t>
      </w:r>
      <w:proofErr w:type="gramEnd"/>
      <w:r w:rsidRPr="007D4081">
        <w:t xml:space="preserve"> without consent. </w:t>
      </w:r>
    </w:p>
    <w:p w14:paraId="3389FFB9" w14:textId="77777777" w:rsidR="00B14A6D" w:rsidRPr="00460DF2" w:rsidRDefault="00B14A6D" w:rsidP="00031052">
      <w:pPr>
        <w:pStyle w:val="NoSpacing"/>
      </w:pPr>
      <w:r w:rsidRPr="00460DF2">
        <w:t xml:space="preserve">In such circumstances, it is important to keep a record of the decision-making process. Professionals should seek advice from managers in line within their organisations’ policy before overriding the adult’s decision, except in emergency situations. </w:t>
      </w:r>
    </w:p>
    <w:p w14:paraId="4766EA54" w14:textId="67D9BB87" w:rsidR="00F702ED" w:rsidRDefault="00B14A6D" w:rsidP="00EB4F25">
      <w:pPr>
        <w:pStyle w:val="NoSpacing"/>
      </w:pPr>
      <w:r w:rsidRPr="00460DF2">
        <w:t xml:space="preserve">Managers should make decisions based on whether there is an overriding reason which makes it necessary to </w:t>
      </w:r>
      <w:proofErr w:type="gramStart"/>
      <w:r w:rsidRPr="00460DF2">
        <w:t>take action</w:t>
      </w:r>
      <w:proofErr w:type="gramEnd"/>
      <w:r w:rsidRPr="00460DF2">
        <w:t xml:space="preserve"> without consent</w:t>
      </w:r>
      <w:r w:rsidR="00F702ED">
        <w:t xml:space="preserve">.  They should decide </w:t>
      </w:r>
      <w:r w:rsidR="00CA3CF1">
        <w:t>whether doing so is proportionate because there is no less intrusive way of ensuring safety.  Legal advice should be sought where appropriate.</w:t>
      </w:r>
    </w:p>
    <w:p w14:paraId="3E62C08B" w14:textId="50903DE2" w:rsidR="00B14A6D" w:rsidRPr="00F049A7" w:rsidRDefault="00B14A6D" w:rsidP="00031052">
      <w:pPr>
        <w:pStyle w:val="NoSpacing"/>
      </w:pPr>
      <w:r w:rsidRPr="00F049A7">
        <w:t xml:space="preserve">If the decision is to </w:t>
      </w:r>
      <w:proofErr w:type="gramStart"/>
      <w:r w:rsidRPr="00F049A7">
        <w:t>take action</w:t>
      </w:r>
      <w:proofErr w:type="gramEnd"/>
      <w:r w:rsidRPr="00F049A7">
        <w:t xml:space="preserve"> without the adult’s consent, then unless it is unsafe to do so, the adult should be informed that this is being done and the reasons why. If there are any other adults or children at risk seek advice from the Safeguarding Lead for your organisation.</w:t>
      </w:r>
    </w:p>
    <w:p w14:paraId="4B3121B0" w14:textId="5C29B7C8" w:rsidR="00CA3CF1" w:rsidRDefault="00CA3CF1" w:rsidP="000513F8">
      <w:pPr>
        <w:pStyle w:val="BodyText"/>
      </w:pPr>
      <w:bookmarkStart w:id="32" w:name="_Toc88473262"/>
      <w:r>
        <w:lastRenderedPageBreak/>
        <w:t xml:space="preserve">The </w:t>
      </w:r>
      <w:hyperlink r:id="rId20" w:history="1">
        <w:r w:rsidRPr="00CA3CF1">
          <w:rPr>
            <w:rStyle w:val="Hyperlink"/>
          </w:rPr>
          <w:t>East Sussex Mental Capacity Multi-</w:t>
        </w:r>
        <w:r>
          <w:rPr>
            <w:rStyle w:val="Hyperlink"/>
          </w:rPr>
          <w:t>A</w:t>
        </w:r>
        <w:r w:rsidRPr="00CA3CF1">
          <w:rPr>
            <w:rStyle w:val="Hyperlink"/>
          </w:rPr>
          <w:t>g</w:t>
        </w:r>
        <w:r w:rsidRPr="00CA3CF1">
          <w:rPr>
            <w:rStyle w:val="Hyperlink"/>
          </w:rPr>
          <w:t>e</w:t>
        </w:r>
        <w:r w:rsidRPr="00CA3CF1">
          <w:rPr>
            <w:rStyle w:val="Hyperlink"/>
          </w:rPr>
          <w:t>ncy Policy and Procedures</w:t>
        </w:r>
      </w:hyperlink>
      <w:r>
        <w:t xml:space="preserve"> provides further guidance on the understanding and application of the MCA.</w:t>
      </w:r>
    </w:p>
    <w:p w14:paraId="1B7813A3" w14:textId="1AFBDBEF" w:rsidR="00B14A6D" w:rsidRPr="004053D0" w:rsidRDefault="00B14A6D" w:rsidP="00DE3650">
      <w:pPr>
        <w:pStyle w:val="Heading2"/>
      </w:pPr>
      <w:bookmarkStart w:id="33" w:name="_Toc90455720"/>
      <w:r w:rsidRPr="004053D0">
        <w:t xml:space="preserve">Team </w:t>
      </w:r>
      <w:r w:rsidR="004A520C" w:rsidRPr="004053D0">
        <w:t>a</w:t>
      </w:r>
      <w:r w:rsidRPr="004053D0">
        <w:t xml:space="preserve">round the </w:t>
      </w:r>
      <w:r w:rsidR="004A520C" w:rsidRPr="004053D0">
        <w:t>p</w:t>
      </w:r>
      <w:r w:rsidRPr="004053D0">
        <w:t>erson</w:t>
      </w:r>
      <w:bookmarkEnd w:id="32"/>
      <w:bookmarkEnd w:id="33"/>
    </w:p>
    <w:p w14:paraId="689620DD" w14:textId="47AF685D" w:rsidR="00B14A6D" w:rsidRDefault="00B14A6D" w:rsidP="005F062F">
      <w:pPr>
        <w:pStyle w:val="BodyText"/>
        <w:rPr>
          <w:lang w:eastAsia="en-GB"/>
        </w:rPr>
      </w:pPr>
      <w:r w:rsidRPr="00460DF2">
        <w:rPr>
          <w:lang w:eastAsia="en-GB"/>
        </w:rPr>
        <w:t xml:space="preserve">To improve people’s mental and physical wellbeing requires whole system partnership working across mental health and substance misuse providers, outreach homelessness teams, councils, adult social care, police, homelessness support workers, primary care and secondary health care. </w:t>
      </w:r>
    </w:p>
    <w:p w14:paraId="2F43943F" w14:textId="77777777" w:rsidR="005F062F" w:rsidRPr="00460DF2" w:rsidRDefault="005F062F" w:rsidP="005F062F">
      <w:pPr>
        <w:pStyle w:val="BodyText"/>
        <w:rPr>
          <w:lang w:eastAsia="en-GB"/>
        </w:rPr>
      </w:pPr>
    </w:p>
    <w:p w14:paraId="6277B784" w14:textId="04D6C3B2" w:rsidR="00B14A6D" w:rsidRPr="00460DF2" w:rsidRDefault="00B14A6D" w:rsidP="005F062F">
      <w:pPr>
        <w:pStyle w:val="BodyText"/>
        <w:rPr>
          <w:lang w:eastAsia="en-GB"/>
        </w:rPr>
      </w:pPr>
      <w:r w:rsidRPr="00460DF2">
        <w:rPr>
          <w:lang w:eastAsia="en-GB"/>
        </w:rPr>
        <w:t xml:space="preserve">Collaboration between practitioners and their services is essential to ensure prompt assessment and provision of care and support. Individuals with </w:t>
      </w:r>
      <w:r w:rsidR="00F702ED">
        <w:rPr>
          <w:lang w:eastAsia="en-GB"/>
        </w:rPr>
        <w:t>MCN</w:t>
      </w:r>
      <w:r w:rsidRPr="00460DF2">
        <w:rPr>
          <w:lang w:eastAsia="en-GB"/>
        </w:rPr>
        <w:t xml:space="preserve"> will require a range of expertise to holistically assess and support</w:t>
      </w:r>
      <w:r w:rsidR="00F702ED">
        <w:rPr>
          <w:lang w:eastAsia="en-GB"/>
        </w:rPr>
        <w:t xml:space="preserve"> their</w:t>
      </w:r>
      <w:r w:rsidRPr="00460DF2">
        <w:rPr>
          <w:lang w:eastAsia="en-GB"/>
        </w:rPr>
        <w:t xml:space="preserve"> needs. In this context, it is important to remember that the duty to cooperate is contained in the Care Act 2014.</w:t>
      </w:r>
    </w:p>
    <w:p w14:paraId="25C83F1C" w14:textId="4A89B0C8" w:rsidR="00B14A6D" w:rsidRDefault="00B14A6D" w:rsidP="007D4081">
      <w:pPr>
        <w:pStyle w:val="BodyText"/>
        <w:rPr>
          <w:color w:val="464B51"/>
          <w:lang w:eastAsia="en-GB"/>
        </w:rPr>
      </w:pPr>
      <w:r w:rsidRPr="00E565EA">
        <w:rPr>
          <w:lang w:eastAsia="en-GB"/>
        </w:rPr>
        <w:t xml:space="preserve">When several services are involved, it is important to appoint a keyworker, to support </w:t>
      </w:r>
      <w:r w:rsidR="009544B7">
        <w:rPr>
          <w:lang w:eastAsia="en-GB"/>
        </w:rPr>
        <w:t>people</w:t>
      </w:r>
      <w:r w:rsidR="009544B7" w:rsidRPr="00E565EA">
        <w:rPr>
          <w:lang w:eastAsia="en-GB"/>
        </w:rPr>
        <w:t xml:space="preserve"> </w:t>
      </w:r>
      <w:r w:rsidRPr="00E565EA">
        <w:rPr>
          <w:lang w:eastAsia="en-GB"/>
        </w:rPr>
        <w:t xml:space="preserve">to access and engage with services, </w:t>
      </w:r>
      <w:r w:rsidR="009544B7">
        <w:rPr>
          <w:lang w:eastAsia="en-GB"/>
        </w:rPr>
        <w:t>and</w:t>
      </w:r>
      <w:r w:rsidRPr="00E565EA">
        <w:rPr>
          <w:lang w:eastAsia="en-GB"/>
        </w:rPr>
        <w:t xml:space="preserve"> to coordinate provision of support and assistance</w:t>
      </w:r>
      <w:r w:rsidRPr="00460DF2">
        <w:rPr>
          <w:color w:val="464B51"/>
          <w:lang w:eastAsia="en-GB"/>
        </w:rPr>
        <w:t>. </w:t>
      </w:r>
    </w:p>
    <w:p w14:paraId="1F4FB443" w14:textId="77777777" w:rsidR="007D4081" w:rsidRDefault="007D4081" w:rsidP="007D4081">
      <w:pPr>
        <w:pStyle w:val="BodyText"/>
        <w:rPr>
          <w:color w:val="464B51"/>
          <w:lang w:eastAsia="en-GB"/>
        </w:rPr>
      </w:pPr>
    </w:p>
    <w:p w14:paraId="0E29EE31" w14:textId="4FC32C61" w:rsidR="00B14A6D" w:rsidRDefault="00B14A6D" w:rsidP="007D4081">
      <w:pPr>
        <w:pStyle w:val="BodyText"/>
        <w:rPr>
          <w:shd w:val="clear" w:color="auto" w:fill="FFFFFF"/>
        </w:rPr>
      </w:pPr>
      <w:r w:rsidRPr="00BE4EB2">
        <w:rPr>
          <w:shd w:val="clear" w:color="auto" w:fill="FFFFFF"/>
        </w:rPr>
        <w:t>It is important to consider who may be best to work creatively and proactively with an adult who does not wish to engage</w:t>
      </w:r>
      <w:r w:rsidR="009544B7">
        <w:rPr>
          <w:shd w:val="clear" w:color="auto" w:fill="FFFFFF"/>
        </w:rPr>
        <w:t xml:space="preserve">.  They may be able to </w:t>
      </w:r>
      <w:r w:rsidRPr="00BE4EB2">
        <w:rPr>
          <w:shd w:val="clear" w:color="auto" w:fill="FFFFFF"/>
        </w:rPr>
        <w:t>build a relationship of trust that may enable the person to accept support. For example, the adult may have already established a positive working relationship with another professional, such as a worker from a voluntary agency, care agency or health service.</w:t>
      </w:r>
      <w:r w:rsidR="007D4081">
        <w:rPr>
          <w:shd w:val="clear" w:color="auto" w:fill="FFFFFF"/>
        </w:rPr>
        <w:t xml:space="preserve"> </w:t>
      </w:r>
      <w:r w:rsidRPr="00BE4EB2">
        <w:rPr>
          <w:shd w:val="clear" w:color="auto" w:fill="FFFFFF"/>
        </w:rPr>
        <w:t>It is important that organisations have mechanisms in place for supporting these workers to undertake this role, and to escalate any concerns where necessary.</w:t>
      </w:r>
    </w:p>
    <w:p w14:paraId="0D8A6E5E" w14:textId="77777777" w:rsidR="007D4081" w:rsidRPr="003A36CD" w:rsidRDefault="007D4081" w:rsidP="007D4081">
      <w:pPr>
        <w:pStyle w:val="BodyText"/>
        <w:rPr>
          <w:rFonts w:eastAsia="Times New Roman"/>
          <w:color w:val="464B51"/>
          <w:lang w:eastAsia="en-GB"/>
        </w:rPr>
      </w:pPr>
    </w:p>
    <w:p w14:paraId="79A3792E" w14:textId="793735CA" w:rsidR="00B14A6D" w:rsidRDefault="00B14A6D" w:rsidP="007D4081">
      <w:pPr>
        <w:pStyle w:val="BodyText"/>
        <w:rPr>
          <w:shd w:val="clear" w:color="auto" w:fill="FFFFFF"/>
        </w:rPr>
      </w:pPr>
      <w:r w:rsidRPr="00BE4EB2">
        <w:rPr>
          <w:shd w:val="clear" w:color="auto" w:fill="FFFFFF"/>
        </w:rPr>
        <w:t xml:space="preserve">In situations involving </w:t>
      </w:r>
      <w:r>
        <w:rPr>
          <w:shd w:val="clear" w:color="auto" w:fill="FFFFFF"/>
        </w:rPr>
        <w:t xml:space="preserve">an adult who is </w:t>
      </w:r>
      <w:r w:rsidRPr="00BE4EB2">
        <w:rPr>
          <w:shd w:val="clear" w:color="auto" w:fill="FFFFFF"/>
        </w:rPr>
        <w:t>self-neglecting</w:t>
      </w:r>
      <w:r>
        <w:rPr>
          <w:shd w:val="clear" w:color="auto" w:fill="FFFFFF"/>
        </w:rPr>
        <w:t xml:space="preserve">, a lead agency should be identified </w:t>
      </w:r>
      <w:r w:rsidRPr="00BE4EB2">
        <w:rPr>
          <w:shd w:val="clear" w:color="auto" w:fill="FFFFFF"/>
        </w:rPr>
        <w:t xml:space="preserve">to coordinate </w:t>
      </w:r>
      <w:r>
        <w:rPr>
          <w:shd w:val="clear" w:color="auto" w:fill="FFFFFF"/>
        </w:rPr>
        <w:t xml:space="preserve">a multi-agency response. The local authority will be the lead agency if a safeguarding enquiry under </w:t>
      </w:r>
      <w:r w:rsidR="00CA3CF1">
        <w:rPr>
          <w:shd w:val="clear" w:color="auto" w:fill="FFFFFF"/>
        </w:rPr>
        <w:t>S</w:t>
      </w:r>
      <w:r>
        <w:rPr>
          <w:shd w:val="clear" w:color="auto" w:fill="FFFFFF"/>
        </w:rPr>
        <w:t>ection 42 of the Care Act is undertaken</w:t>
      </w:r>
      <w:r w:rsidR="00CA3CF1">
        <w:rPr>
          <w:shd w:val="clear" w:color="auto" w:fill="FFFFFF"/>
        </w:rPr>
        <w:t xml:space="preserve">.  </w:t>
      </w:r>
      <w:r w:rsidR="000513F8">
        <w:rPr>
          <w:shd w:val="clear" w:color="auto" w:fill="FFFFFF"/>
        </w:rPr>
        <w:t>However,</w:t>
      </w:r>
      <w:r>
        <w:rPr>
          <w:shd w:val="clear" w:color="auto" w:fill="FFFFFF"/>
        </w:rPr>
        <w:t xml:space="preserve"> the local authority may </w:t>
      </w:r>
      <w:r w:rsidR="009544B7">
        <w:rPr>
          <w:shd w:val="clear" w:color="auto" w:fill="FFFFFF"/>
        </w:rPr>
        <w:t xml:space="preserve">request </w:t>
      </w:r>
      <w:r>
        <w:rPr>
          <w:shd w:val="clear" w:color="auto" w:fill="FFFFFF"/>
        </w:rPr>
        <w:t xml:space="preserve">another agency to lead </w:t>
      </w:r>
      <w:r w:rsidR="00CA3CF1">
        <w:rPr>
          <w:shd w:val="clear" w:color="auto" w:fill="FFFFFF"/>
        </w:rPr>
        <w:t xml:space="preserve">and coordinate </w:t>
      </w:r>
      <w:r>
        <w:rPr>
          <w:shd w:val="clear" w:color="auto" w:fill="FFFFFF"/>
        </w:rPr>
        <w:t>th</w:t>
      </w:r>
      <w:r w:rsidR="00CA3CF1">
        <w:rPr>
          <w:shd w:val="clear" w:color="auto" w:fill="FFFFFF"/>
        </w:rPr>
        <w:t>e</w:t>
      </w:r>
      <w:r>
        <w:rPr>
          <w:shd w:val="clear" w:color="auto" w:fill="FFFFFF"/>
        </w:rPr>
        <w:t xml:space="preserve"> enquiry if the agency is better placed to do so.  T</w:t>
      </w:r>
      <w:r w:rsidRPr="00BE4EB2">
        <w:rPr>
          <w:shd w:val="clear" w:color="auto" w:fill="FFFFFF"/>
        </w:rPr>
        <w:t>his could be because:</w:t>
      </w:r>
    </w:p>
    <w:p w14:paraId="53B35945" w14:textId="77777777" w:rsidR="007D4081" w:rsidRPr="00BE4EB2" w:rsidRDefault="007D4081" w:rsidP="007D4081">
      <w:pPr>
        <w:pStyle w:val="BodyText"/>
        <w:rPr>
          <w:shd w:val="clear" w:color="auto" w:fill="FFFFFF"/>
        </w:rPr>
      </w:pPr>
    </w:p>
    <w:p w14:paraId="0F6CE06F" w14:textId="0F3B37BD" w:rsidR="00B14A6D" w:rsidRPr="007364AC" w:rsidRDefault="00B14A6D" w:rsidP="007364AC">
      <w:pPr>
        <w:pStyle w:val="NoSpacing"/>
      </w:pPr>
      <w:r w:rsidRPr="007364AC">
        <w:t>The agency is already involved with the adult</w:t>
      </w:r>
      <w:r w:rsidR="00CA3CF1">
        <w:t>.</w:t>
      </w:r>
    </w:p>
    <w:p w14:paraId="5EEACC94" w14:textId="6DD60AE0" w:rsidR="00B14A6D" w:rsidRPr="007364AC" w:rsidRDefault="00B14A6D" w:rsidP="007364AC">
      <w:pPr>
        <w:pStyle w:val="NoSpacing"/>
      </w:pPr>
      <w:r w:rsidRPr="007364AC">
        <w:t>The agency has a duty of care towards the adult because of their needs</w:t>
      </w:r>
      <w:r w:rsidR="00CA3CF1">
        <w:t>.</w:t>
      </w:r>
    </w:p>
    <w:p w14:paraId="70B723D4" w14:textId="476C1C93" w:rsidR="00B14A6D" w:rsidRPr="007364AC" w:rsidRDefault="00B14A6D" w:rsidP="007364AC">
      <w:pPr>
        <w:pStyle w:val="NoSpacing"/>
      </w:pPr>
      <w:r w:rsidRPr="007364AC">
        <w:t>The agency holds significant information relating to the adult</w:t>
      </w:r>
      <w:r w:rsidR="00CA3CF1">
        <w:t>.</w:t>
      </w:r>
      <w:r w:rsidRPr="007364AC">
        <w:t xml:space="preserve"> </w:t>
      </w:r>
    </w:p>
    <w:p w14:paraId="3CE66298" w14:textId="19910E25" w:rsidR="00B14A6D" w:rsidRPr="007364AC" w:rsidRDefault="00B14A6D" w:rsidP="007364AC">
      <w:pPr>
        <w:pStyle w:val="NoSpacing"/>
      </w:pPr>
      <w:r w:rsidRPr="007364AC">
        <w:t>The adult has shown a likelihood to engage best with this agency in the past</w:t>
      </w:r>
      <w:r w:rsidR="00CA3CF1">
        <w:t>.</w:t>
      </w:r>
    </w:p>
    <w:p w14:paraId="6D612E51" w14:textId="5F0060C2" w:rsidR="00B14A6D" w:rsidRDefault="00B14A6D" w:rsidP="007364AC">
      <w:pPr>
        <w:pStyle w:val="NoSpacing"/>
      </w:pPr>
      <w:r w:rsidRPr="007364AC">
        <w:t xml:space="preserve">The adult’s </w:t>
      </w:r>
      <w:r w:rsidR="00CA3CF1">
        <w:t>care and support</w:t>
      </w:r>
      <w:r w:rsidR="00CA3CF1" w:rsidRPr="007364AC">
        <w:t xml:space="preserve"> </w:t>
      </w:r>
      <w:r w:rsidRPr="007364AC">
        <w:t xml:space="preserve">needs relate </w:t>
      </w:r>
      <w:r w:rsidR="00CA3CF1">
        <w:t xml:space="preserve">predominantly </w:t>
      </w:r>
      <w:r w:rsidRPr="007364AC">
        <w:t>to the service provided by the agency</w:t>
      </w:r>
      <w:r w:rsidR="00CA3CF1">
        <w:t>.</w:t>
      </w:r>
    </w:p>
    <w:p w14:paraId="2C8CDE3A" w14:textId="33361231" w:rsidR="000513F8" w:rsidRDefault="000513F8" w:rsidP="000513F8">
      <w:pPr>
        <w:pStyle w:val="NoSpacing"/>
        <w:numPr>
          <w:ilvl w:val="0"/>
          <w:numId w:val="0"/>
        </w:numPr>
        <w:ind w:left="850" w:hanging="425"/>
      </w:pPr>
    </w:p>
    <w:p w14:paraId="3C64A157" w14:textId="77777777" w:rsidR="000513F8" w:rsidRPr="007364AC" w:rsidRDefault="000513F8" w:rsidP="000513F8">
      <w:pPr>
        <w:pStyle w:val="NoSpacing"/>
        <w:numPr>
          <w:ilvl w:val="0"/>
          <w:numId w:val="0"/>
        </w:numPr>
        <w:ind w:left="850" w:hanging="425"/>
      </w:pPr>
    </w:p>
    <w:p w14:paraId="443AD61B" w14:textId="77777777" w:rsidR="00B14A6D" w:rsidRPr="00873028" w:rsidRDefault="00B14A6D" w:rsidP="004053D0">
      <w:pPr>
        <w:pStyle w:val="Heading1"/>
      </w:pPr>
      <w:bookmarkStart w:id="34" w:name="_Toc88473263"/>
      <w:bookmarkStart w:id="35" w:name="_Toc90455721"/>
      <w:r w:rsidRPr="00873028">
        <w:lastRenderedPageBreak/>
        <w:t>Summary</w:t>
      </w:r>
      <w:bookmarkEnd w:id="34"/>
      <w:bookmarkEnd w:id="35"/>
    </w:p>
    <w:p w14:paraId="2034AD3E" w14:textId="1E7B4BA9" w:rsidR="00B14A6D" w:rsidRPr="008278BE" w:rsidRDefault="00B14A6D" w:rsidP="007F638A">
      <w:pPr>
        <w:spacing w:after="600"/>
        <w:rPr>
          <w:rStyle w:val="BodyTextChar"/>
        </w:rPr>
      </w:pPr>
      <w:r w:rsidRPr="008278BE">
        <w:rPr>
          <w:rStyle w:val="BodyTextChar"/>
        </w:rPr>
        <w:t xml:space="preserve">MCN </w:t>
      </w:r>
      <w:r w:rsidR="009544B7" w:rsidRPr="008278BE">
        <w:rPr>
          <w:rStyle w:val="BodyTextChar"/>
        </w:rPr>
        <w:t>are</w:t>
      </w:r>
      <w:r w:rsidRPr="008278BE">
        <w:rPr>
          <w:rStyle w:val="BodyTextChar"/>
        </w:rPr>
        <w:t xml:space="preserve"> intricate and potentially, ever </w:t>
      </w:r>
      <w:r w:rsidR="009544B7" w:rsidRPr="008278BE">
        <w:rPr>
          <w:rStyle w:val="BodyTextChar"/>
        </w:rPr>
        <w:t>changing</w:t>
      </w:r>
      <w:r w:rsidRPr="008278BE">
        <w:rPr>
          <w:rStyle w:val="BodyTextChar"/>
        </w:rPr>
        <w:t xml:space="preserve">, within </w:t>
      </w:r>
      <w:r w:rsidR="009544B7" w:rsidRPr="008278BE">
        <w:rPr>
          <w:rStyle w:val="BodyTextChar"/>
        </w:rPr>
        <w:t xml:space="preserve">a person’s </w:t>
      </w:r>
      <w:r w:rsidRPr="008278BE">
        <w:rPr>
          <w:rStyle w:val="BodyTextChar"/>
        </w:rPr>
        <w:t>presentation.  Reflection and consideration of this within practice is vital</w:t>
      </w:r>
      <w:r w:rsidR="009544B7" w:rsidRPr="008278BE">
        <w:rPr>
          <w:rStyle w:val="BodyTextChar"/>
        </w:rPr>
        <w:t>. C</w:t>
      </w:r>
      <w:r w:rsidRPr="008278BE">
        <w:rPr>
          <w:rStyle w:val="BodyTextChar"/>
        </w:rPr>
        <w:t>ommunication, the use</w:t>
      </w:r>
      <w:r w:rsidRPr="00460DF2">
        <w:rPr>
          <w:lang w:eastAsia="en-GB"/>
        </w:rPr>
        <w:t xml:space="preserve"> </w:t>
      </w:r>
      <w:r w:rsidRPr="008278BE">
        <w:rPr>
          <w:rStyle w:val="BodyTextChar"/>
        </w:rPr>
        <w:t xml:space="preserve">of judgement and practice expertise underpins how professionals should work with </w:t>
      </w:r>
      <w:r w:rsidR="009544B7" w:rsidRPr="008278BE">
        <w:rPr>
          <w:rStyle w:val="BodyTextChar"/>
        </w:rPr>
        <w:t>people</w:t>
      </w:r>
      <w:r w:rsidRPr="008278BE">
        <w:rPr>
          <w:rStyle w:val="BodyTextChar"/>
        </w:rPr>
        <w:t>. By starting and enabling conversations about MCN it is hoped that there will continue to be robust and supportive assessments, interventions and meaningful change for all individuals experiencing MCN.</w:t>
      </w:r>
    </w:p>
    <w:p w14:paraId="51850995" w14:textId="5C5EF862" w:rsidR="00B14A6D" w:rsidRPr="00330277" w:rsidRDefault="00B14A6D" w:rsidP="00DE3650">
      <w:pPr>
        <w:pStyle w:val="Heading1"/>
      </w:pPr>
      <w:bookmarkStart w:id="36" w:name="_Toc88473264"/>
      <w:bookmarkStart w:id="37" w:name="_Toc90455722"/>
      <w:r w:rsidRPr="00330277">
        <w:t>Acknowledgments</w:t>
      </w:r>
      <w:bookmarkEnd w:id="36"/>
      <w:bookmarkEnd w:id="37"/>
      <w:r w:rsidRPr="00330277">
        <w:t xml:space="preserve"> </w:t>
      </w:r>
    </w:p>
    <w:p w14:paraId="77CD7CB5" w14:textId="079D64E3" w:rsidR="00B14A6D" w:rsidRDefault="00B14A6D" w:rsidP="007D4081">
      <w:pPr>
        <w:pStyle w:val="BodyText"/>
      </w:pPr>
      <w:r w:rsidRPr="007D4081">
        <w:t>The guidance and information within this framework were adapted by the E</w:t>
      </w:r>
      <w:r w:rsidR="00CA3CF1">
        <w:t xml:space="preserve">ast </w:t>
      </w:r>
      <w:r w:rsidRPr="007D4081">
        <w:t>S</w:t>
      </w:r>
      <w:r w:rsidR="00CA3CF1">
        <w:t xml:space="preserve">ussex </w:t>
      </w:r>
      <w:r w:rsidRPr="007D4081">
        <w:t>SAB from the following sources:</w:t>
      </w:r>
    </w:p>
    <w:p w14:paraId="582B0119" w14:textId="77777777" w:rsidR="007D4081" w:rsidRPr="007D4081" w:rsidRDefault="007D4081" w:rsidP="007D4081">
      <w:pPr>
        <w:pStyle w:val="BodyText"/>
      </w:pPr>
    </w:p>
    <w:p w14:paraId="213614F5" w14:textId="0059C005" w:rsidR="00B14A6D" w:rsidRDefault="00CC520B" w:rsidP="007D4081">
      <w:pPr>
        <w:pStyle w:val="BodyText"/>
      </w:pPr>
      <w:hyperlink r:id="rId21" w:history="1">
        <w:r w:rsidR="00B14A6D" w:rsidRPr="00CA3CF1">
          <w:rPr>
            <w:rStyle w:val="Hyperlink"/>
          </w:rPr>
          <w:t>Supporting People with Multiple Needs Annual Report of the National Evaluation 2016</w:t>
        </w:r>
      </w:hyperlink>
      <w:r w:rsidR="00B14A6D" w:rsidRPr="007D4081">
        <w:t xml:space="preserve">, Fulfilling Lives </w:t>
      </w:r>
    </w:p>
    <w:p w14:paraId="345BE6FB" w14:textId="77777777" w:rsidR="00CA3CF1" w:rsidRPr="007D4081" w:rsidRDefault="00CA3CF1" w:rsidP="007D4081">
      <w:pPr>
        <w:pStyle w:val="BodyText"/>
      </w:pPr>
    </w:p>
    <w:p w14:paraId="32CEAF61" w14:textId="06393375" w:rsidR="00B14A6D" w:rsidRPr="000513F8" w:rsidRDefault="00CC520B" w:rsidP="000513F8">
      <w:pPr>
        <w:pStyle w:val="BodyText"/>
      </w:pPr>
      <w:hyperlink r:id="rId22" w:history="1">
        <w:r w:rsidR="00B14A6D" w:rsidRPr="00CA3CF1">
          <w:rPr>
            <w:rStyle w:val="Hyperlink"/>
          </w:rPr>
          <w:t>Adult Safeguarding and Homelessness - A briefing on Positive Practice</w:t>
        </w:r>
      </w:hyperlink>
      <w:r w:rsidR="00B14A6D" w:rsidRPr="007D4081">
        <w:t xml:space="preserve">, </w:t>
      </w:r>
      <w:r w:rsidR="00B14A6D" w:rsidRPr="007D4081">
        <w:rPr>
          <w:lang w:eastAsia="en-GB"/>
        </w:rPr>
        <w:t xml:space="preserve">Michael </w:t>
      </w:r>
      <w:r w:rsidR="00B14A6D" w:rsidRPr="000513F8">
        <w:t xml:space="preserve">Preston-Shoot, </w:t>
      </w:r>
      <w:r w:rsidR="00CA3CF1" w:rsidRPr="000513F8">
        <w:t>Local Government (</w:t>
      </w:r>
      <w:r w:rsidR="00B14A6D" w:rsidRPr="000513F8">
        <w:t>LGA</w:t>
      </w:r>
      <w:r w:rsidR="00CA3CF1" w:rsidRPr="000513F8">
        <w:t xml:space="preserve">) and the Association of Directors of Adult Social Services </w:t>
      </w:r>
      <w:r w:rsidR="009A6378" w:rsidRPr="000513F8">
        <w:t>(</w:t>
      </w:r>
      <w:r w:rsidR="00B14A6D" w:rsidRPr="000513F8">
        <w:t>ADASS</w:t>
      </w:r>
      <w:r w:rsidR="009A6378" w:rsidRPr="000513F8">
        <w:t>)</w:t>
      </w:r>
      <w:r w:rsidR="00CA3CF1" w:rsidRPr="000513F8">
        <w:t>,</w:t>
      </w:r>
      <w:r w:rsidR="000513F8" w:rsidRPr="000513F8">
        <w:t xml:space="preserve"> </w:t>
      </w:r>
      <w:r w:rsidR="00B14A6D" w:rsidRPr="000513F8">
        <w:t>March 2020</w:t>
      </w:r>
    </w:p>
    <w:p w14:paraId="08DA4AAA" w14:textId="77777777" w:rsidR="00CA3CF1" w:rsidRPr="000513F8" w:rsidRDefault="00CA3CF1" w:rsidP="000513F8">
      <w:pPr>
        <w:pStyle w:val="BodyText"/>
      </w:pPr>
    </w:p>
    <w:p w14:paraId="3E2AF4CE" w14:textId="1152488E" w:rsidR="00B14A6D" w:rsidRDefault="00CC520B" w:rsidP="007D4081">
      <w:pPr>
        <w:pStyle w:val="BodyText"/>
        <w:rPr>
          <w:lang w:eastAsia="en-GB"/>
        </w:rPr>
      </w:pPr>
      <w:hyperlink r:id="rId23" w:history="1">
        <w:r w:rsidR="00B14A6D" w:rsidRPr="009A6378">
          <w:rPr>
            <w:rStyle w:val="Hyperlink"/>
            <w:lang w:eastAsia="en-GB"/>
          </w:rPr>
          <w:t>Using Strengths Based Approaches with People Experience Multiple and Complex Needs</w:t>
        </w:r>
      </w:hyperlink>
      <w:r w:rsidR="00B14A6D" w:rsidRPr="007D4081">
        <w:rPr>
          <w:lang w:eastAsia="en-GB"/>
        </w:rPr>
        <w:t xml:space="preserve">, </w:t>
      </w:r>
      <w:r w:rsidR="00B14A6D" w:rsidRPr="007D4081">
        <w:rPr>
          <w:lang w:val="en-US"/>
        </w:rPr>
        <w:t xml:space="preserve">Theodora </w:t>
      </w:r>
      <w:proofErr w:type="spellStart"/>
      <w:r w:rsidR="00B14A6D" w:rsidRPr="007D4081">
        <w:rPr>
          <w:lang w:val="en-US"/>
        </w:rPr>
        <w:t>Soulantika</w:t>
      </w:r>
      <w:proofErr w:type="spellEnd"/>
      <w:r w:rsidR="00B14A6D" w:rsidRPr="007D4081">
        <w:rPr>
          <w:lang w:val="en-US"/>
        </w:rPr>
        <w:t>, Fulfilling Lives South East Partnership, June 2021</w:t>
      </w:r>
      <w:r w:rsidR="00B14A6D" w:rsidRPr="007D4081">
        <w:rPr>
          <w:lang w:eastAsia="en-GB"/>
        </w:rPr>
        <w:t xml:space="preserve"> </w:t>
      </w:r>
    </w:p>
    <w:p w14:paraId="777CA1E0" w14:textId="77777777" w:rsidR="00CA3CF1" w:rsidRPr="007D4081" w:rsidRDefault="00CA3CF1" w:rsidP="007D4081">
      <w:pPr>
        <w:pStyle w:val="BodyText"/>
        <w:rPr>
          <w:lang w:eastAsia="en-GB"/>
        </w:rPr>
      </w:pPr>
    </w:p>
    <w:p w14:paraId="4462CCDD" w14:textId="09470EC9" w:rsidR="00F049A7" w:rsidRPr="007D4081" w:rsidRDefault="00CC520B" w:rsidP="007D4081">
      <w:pPr>
        <w:pStyle w:val="BodyText"/>
        <w:rPr>
          <w:lang w:eastAsia="en-GB"/>
        </w:rPr>
      </w:pPr>
      <w:hyperlink r:id="rId24" w:history="1">
        <w:r w:rsidR="00B14A6D" w:rsidRPr="009A6378">
          <w:rPr>
            <w:rStyle w:val="Hyperlink"/>
            <w:lang w:eastAsia="en-GB"/>
          </w:rPr>
          <w:t>Adult Safeguarding and Homelessness: Experience Informed Practice</w:t>
        </w:r>
      </w:hyperlink>
      <w:r w:rsidR="00B14A6D" w:rsidRPr="007D4081">
        <w:rPr>
          <w:lang w:eastAsia="en-GB"/>
        </w:rPr>
        <w:t>, Michael Preston-Shoot, LGA</w:t>
      </w:r>
      <w:r w:rsidR="00CA3CF1">
        <w:rPr>
          <w:lang w:eastAsia="en-GB"/>
        </w:rPr>
        <w:t>,</w:t>
      </w:r>
      <w:r w:rsidR="000513F8">
        <w:rPr>
          <w:lang w:eastAsia="en-GB"/>
        </w:rPr>
        <w:t xml:space="preserve"> </w:t>
      </w:r>
      <w:r w:rsidR="00B14A6D" w:rsidRPr="007D4081">
        <w:rPr>
          <w:lang w:eastAsia="en-GB"/>
        </w:rPr>
        <w:t>August 2021</w:t>
      </w:r>
      <w:bookmarkStart w:id="38" w:name="_Hlk82414098"/>
      <w:bookmarkEnd w:id="38"/>
    </w:p>
    <w:sectPr w:rsidR="00F049A7" w:rsidRPr="007D4081" w:rsidSect="00031052">
      <w:footerReference w:type="default" r:id="rId25"/>
      <w:footerReference w:type="first" r:id="rId26"/>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C882" w14:textId="77777777" w:rsidR="00C975E8" w:rsidRDefault="00C975E8" w:rsidP="00F049A7">
      <w:r>
        <w:separator/>
      </w:r>
    </w:p>
  </w:endnote>
  <w:endnote w:type="continuationSeparator" w:id="0">
    <w:p w14:paraId="4050CDA1" w14:textId="77777777" w:rsidR="00C975E8" w:rsidRDefault="00C975E8" w:rsidP="00F0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0956" w14:textId="77777777" w:rsidR="006026D8" w:rsidRPr="006026D8" w:rsidRDefault="006026D8" w:rsidP="006026D8">
    <w:pPr>
      <w:pBdr>
        <w:top w:val="single" w:sz="8" w:space="1" w:color="auto"/>
      </w:pBdr>
      <w:tabs>
        <w:tab w:val="right" w:pos="9072"/>
      </w:tabs>
      <w:spacing w:after="0" w:line="264" w:lineRule="auto"/>
      <w:rPr>
        <w:rFonts w:eastAsia="Calibri" w:cs="Arial"/>
        <w:b/>
        <w:sz w:val="20"/>
        <w:szCs w:val="20"/>
        <w:lang w:eastAsia="en-GB"/>
      </w:rPr>
    </w:pPr>
    <w:r w:rsidRPr="006026D8">
      <w:rPr>
        <w:rFonts w:eastAsia="Calibri" w:cs="Arial"/>
        <w:b/>
        <w:sz w:val="20"/>
        <w:szCs w:val="20"/>
        <w:lang w:eastAsia="en-GB"/>
      </w:rPr>
      <w:t>Assessing and Supporting People with Multiple and Complex Needs</w:t>
    </w:r>
  </w:p>
  <w:p w14:paraId="718A10B1" w14:textId="18C0EBB1" w:rsidR="006026D8" w:rsidRPr="006026D8" w:rsidRDefault="006026D8" w:rsidP="006026D8">
    <w:pPr>
      <w:pBdr>
        <w:top w:val="single" w:sz="8" w:space="1" w:color="auto"/>
      </w:pBdr>
      <w:tabs>
        <w:tab w:val="right" w:pos="9072"/>
      </w:tabs>
      <w:spacing w:after="0" w:line="264" w:lineRule="auto"/>
      <w:rPr>
        <w:rFonts w:eastAsia="Calibri" w:cs="Arial"/>
        <w:b/>
        <w:sz w:val="20"/>
        <w:szCs w:val="20"/>
        <w:lang w:eastAsia="en-GB"/>
      </w:rPr>
    </w:pPr>
    <w:r w:rsidRPr="006026D8">
      <w:rPr>
        <w:rFonts w:eastAsia="Calibri" w:cs="Arial"/>
        <w:b/>
        <w:sz w:val="20"/>
        <w:szCs w:val="20"/>
        <w:lang w:eastAsia="en-GB"/>
      </w:rPr>
      <w:t>Version: 2</w:t>
    </w:r>
    <w:r w:rsidRPr="006026D8">
      <w:rPr>
        <w:rFonts w:eastAsia="Calibri" w:cs="Arial"/>
        <w:b/>
        <w:sz w:val="20"/>
        <w:szCs w:val="20"/>
        <w:lang w:eastAsia="en-GB"/>
      </w:rPr>
      <w:tab/>
    </w:r>
  </w:p>
  <w:p w14:paraId="58AF3815" w14:textId="0FFCAF9A" w:rsidR="006026D8" w:rsidRPr="006026D8" w:rsidRDefault="006B5F66" w:rsidP="006026D8">
    <w:pPr>
      <w:pBdr>
        <w:top w:val="single" w:sz="8" w:space="1" w:color="auto"/>
      </w:pBdr>
      <w:spacing w:after="0" w:line="264" w:lineRule="auto"/>
      <w:rPr>
        <w:rFonts w:eastAsia="Calibri" w:cs="Arial"/>
        <w:sz w:val="20"/>
        <w:szCs w:val="20"/>
        <w:lang w:eastAsia="en-GB"/>
      </w:rPr>
    </w:pPr>
    <w:r>
      <w:rPr>
        <w:rFonts w:eastAsia="Calibri" w:cs="Arial"/>
        <w:b/>
        <w:sz w:val="20"/>
        <w:szCs w:val="20"/>
        <w:lang w:eastAsia="en-GB"/>
      </w:rPr>
      <w:t>December</w:t>
    </w:r>
    <w:r w:rsidRPr="006026D8">
      <w:rPr>
        <w:rFonts w:eastAsia="Calibri" w:cs="Arial"/>
        <w:b/>
        <w:sz w:val="20"/>
        <w:szCs w:val="20"/>
        <w:lang w:eastAsia="en-GB"/>
      </w:rPr>
      <w:t xml:space="preserve"> </w:t>
    </w:r>
    <w:r w:rsidR="006026D8" w:rsidRPr="006026D8">
      <w:rPr>
        <w:rFonts w:eastAsia="Calibri" w:cs="Arial"/>
        <w:b/>
        <w:sz w:val="20"/>
        <w:szCs w:val="20"/>
        <w:lang w:eastAsia="en-GB"/>
      </w:rPr>
      <w:t>2021</w:t>
    </w:r>
    <w:r w:rsidR="006026D8" w:rsidRPr="006026D8">
      <w:rPr>
        <w:rFonts w:eastAsia="Calibri" w:cs="Arial"/>
        <w:sz w:val="20"/>
        <w:szCs w:val="20"/>
        <w:lang w:eastAsia="en-GB"/>
      </w:rPr>
      <w:t xml:space="preserve"> (date printed: </w:t>
    </w:r>
    <w:r w:rsidR="006026D8" w:rsidRPr="006026D8">
      <w:rPr>
        <w:rFonts w:eastAsia="Calibri" w:cs="Arial"/>
        <w:sz w:val="20"/>
        <w:szCs w:val="20"/>
        <w:lang w:eastAsia="en-GB"/>
      </w:rPr>
      <w:fldChar w:fldCharType="begin"/>
    </w:r>
    <w:r w:rsidR="006026D8" w:rsidRPr="006026D8">
      <w:rPr>
        <w:rFonts w:eastAsia="Calibri" w:cs="Arial"/>
        <w:sz w:val="20"/>
        <w:szCs w:val="20"/>
        <w:lang w:eastAsia="en-GB"/>
      </w:rPr>
      <w:instrText xml:space="preserve"> DATE \@ "dd MMMM yyyy" </w:instrText>
    </w:r>
    <w:r w:rsidR="006026D8" w:rsidRPr="006026D8">
      <w:rPr>
        <w:rFonts w:eastAsia="Calibri" w:cs="Arial"/>
        <w:sz w:val="20"/>
        <w:szCs w:val="20"/>
        <w:lang w:eastAsia="en-GB"/>
      </w:rPr>
      <w:fldChar w:fldCharType="separate"/>
    </w:r>
    <w:r w:rsidR="00CC520B">
      <w:rPr>
        <w:rFonts w:eastAsia="Calibri" w:cs="Arial"/>
        <w:noProof/>
        <w:sz w:val="20"/>
        <w:szCs w:val="20"/>
        <w:lang w:eastAsia="en-GB"/>
      </w:rPr>
      <w:t>29 May 2024</w:t>
    </w:r>
    <w:r w:rsidR="006026D8" w:rsidRPr="006026D8">
      <w:rPr>
        <w:rFonts w:eastAsia="Calibri" w:cs="Arial"/>
        <w:sz w:val="20"/>
        <w:szCs w:val="20"/>
        <w:lang w:eastAsia="en-GB"/>
      </w:rPr>
      <w:fldChar w:fldCharType="end"/>
    </w:r>
    <w:r w:rsidR="006026D8" w:rsidRPr="006026D8">
      <w:rPr>
        <w:rFonts w:eastAsia="Calibri" w:cs="Arial"/>
        <w:sz w:val="20"/>
        <w:szCs w:val="20"/>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16D6" w14:textId="77777777" w:rsidR="00161CB0" w:rsidRPr="006026D8" w:rsidRDefault="00161CB0" w:rsidP="00161CB0">
    <w:pPr>
      <w:pBdr>
        <w:top w:val="single" w:sz="8" w:space="1" w:color="auto"/>
      </w:pBdr>
      <w:tabs>
        <w:tab w:val="right" w:pos="9072"/>
      </w:tabs>
      <w:spacing w:after="0" w:line="264" w:lineRule="auto"/>
      <w:rPr>
        <w:rFonts w:eastAsia="Calibri" w:cs="Arial"/>
        <w:b/>
        <w:sz w:val="20"/>
        <w:szCs w:val="20"/>
        <w:lang w:eastAsia="en-GB"/>
      </w:rPr>
    </w:pPr>
    <w:r w:rsidRPr="006026D8">
      <w:rPr>
        <w:rFonts w:eastAsia="Calibri" w:cs="Arial"/>
        <w:b/>
        <w:sz w:val="20"/>
        <w:szCs w:val="20"/>
        <w:lang w:eastAsia="en-GB"/>
      </w:rPr>
      <w:t>Assessing and Supporting People with Multiple and Complex Needs</w:t>
    </w:r>
  </w:p>
  <w:p w14:paraId="4E1CC9F6" w14:textId="77777777" w:rsidR="00161CB0" w:rsidRPr="006026D8" w:rsidRDefault="00161CB0" w:rsidP="00161CB0">
    <w:pPr>
      <w:pBdr>
        <w:top w:val="single" w:sz="8" w:space="1" w:color="auto"/>
      </w:pBdr>
      <w:tabs>
        <w:tab w:val="right" w:pos="9072"/>
      </w:tabs>
      <w:spacing w:after="0" w:line="264" w:lineRule="auto"/>
      <w:rPr>
        <w:rFonts w:eastAsia="Calibri" w:cs="Arial"/>
        <w:b/>
        <w:sz w:val="20"/>
        <w:szCs w:val="20"/>
        <w:lang w:eastAsia="en-GB"/>
      </w:rPr>
    </w:pPr>
    <w:r w:rsidRPr="006026D8">
      <w:rPr>
        <w:rFonts w:eastAsia="Calibri" w:cs="Arial"/>
        <w:b/>
        <w:sz w:val="20"/>
        <w:szCs w:val="20"/>
        <w:lang w:eastAsia="en-GB"/>
      </w:rPr>
      <w:t>Version: 2</w:t>
    </w:r>
    <w:r w:rsidRPr="006026D8">
      <w:rPr>
        <w:rFonts w:eastAsia="Calibri" w:cs="Arial"/>
        <w:b/>
        <w:sz w:val="20"/>
        <w:szCs w:val="20"/>
        <w:lang w:eastAsia="en-GB"/>
      </w:rPr>
      <w:tab/>
    </w:r>
  </w:p>
  <w:p w14:paraId="417CC160" w14:textId="5920FCA4" w:rsidR="00161CB0" w:rsidRPr="006026D8" w:rsidRDefault="006B5F66" w:rsidP="00161CB0">
    <w:pPr>
      <w:pBdr>
        <w:top w:val="single" w:sz="8" w:space="1" w:color="auto"/>
      </w:pBdr>
      <w:spacing w:after="0" w:line="264" w:lineRule="auto"/>
      <w:rPr>
        <w:rFonts w:eastAsia="Calibri" w:cs="Arial"/>
        <w:sz w:val="20"/>
        <w:szCs w:val="20"/>
        <w:lang w:eastAsia="en-GB"/>
      </w:rPr>
    </w:pPr>
    <w:r>
      <w:rPr>
        <w:rFonts w:eastAsia="Calibri" w:cs="Arial"/>
        <w:b/>
        <w:sz w:val="20"/>
        <w:szCs w:val="20"/>
        <w:lang w:eastAsia="en-GB"/>
      </w:rPr>
      <w:t>December</w:t>
    </w:r>
    <w:r w:rsidRPr="006026D8">
      <w:rPr>
        <w:rFonts w:eastAsia="Calibri" w:cs="Arial"/>
        <w:b/>
        <w:sz w:val="20"/>
        <w:szCs w:val="20"/>
        <w:lang w:eastAsia="en-GB"/>
      </w:rPr>
      <w:t xml:space="preserve"> </w:t>
    </w:r>
    <w:r w:rsidR="00161CB0" w:rsidRPr="006026D8">
      <w:rPr>
        <w:rFonts w:eastAsia="Calibri" w:cs="Arial"/>
        <w:b/>
        <w:sz w:val="20"/>
        <w:szCs w:val="20"/>
        <w:lang w:eastAsia="en-GB"/>
      </w:rPr>
      <w:t>2021</w:t>
    </w:r>
    <w:r w:rsidR="00161CB0" w:rsidRPr="006026D8">
      <w:rPr>
        <w:rFonts w:eastAsia="Calibri" w:cs="Arial"/>
        <w:sz w:val="20"/>
        <w:szCs w:val="20"/>
        <w:lang w:eastAsia="en-GB"/>
      </w:rPr>
      <w:t xml:space="preserve"> (date printed: </w:t>
    </w:r>
    <w:r w:rsidR="00161CB0" w:rsidRPr="006026D8">
      <w:rPr>
        <w:rFonts w:eastAsia="Calibri" w:cs="Arial"/>
        <w:sz w:val="20"/>
        <w:szCs w:val="20"/>
        <w:lang w:eastAsia="en-GB"/>
      </w:rPr>
      <w:fldChar w:fldCharType="begin"/>
    </w:r>
    <w:r w:rsidR="00161CB0" w:rsidRPr="006026D8">
      <w:rPr>
        <w:rFonts w:eastAsia="Calibri" w:cs="Arial"/>
        <w:sz w:val="20"/>
        <w:szCs w:val="20"/>
        <w:lang w:eastAsia="en-GB"/>
      </w:rPr>
      <w:instrText xml:space="preserve"> DATE \@ "dd MMMM yyyy" </w:instrText>
    </w:r>
    <w:r w:rsidR="00161CB0" w:rsidRPr="006026D8">
      <w:rPr>
        <w:rFonts w:eastAsia="Calibri" w:cs="Arial"/>
        <w:sz w:val="20"/>
        <w:szCs w:val="20"/>
        <w:lang w:eastAsia="en-GB"/>
      </w:rPr>
      <w:fldChar w:fldCharType="separate"/>
    </w:r>
    <w:r w:rsidR="00CC520B">
      <w:rPr>
        <w:rFonts w:eastAsia="Calibri" w:cs="Arial"/>
        <w:noProof/>
        <w:sz w:val="20"/>
        <w:szCs w:val="20"/>
        <w:lang w:eastAsia="en-GB"/>
      </w:rPr>
      <w:t>29 May 2024</w:t>
    </w:r>
    <w:r w:rsidR="00161CB0" w:rsidRPr="006026D8">
      <w:rPr>
        <w:rFonts w:eastAsia="Calibri" w:cs="Arial"/>
        <w:sz w:val="20"/>
        <w:szCs w:val="20"/>
        <w:lang w:eastAsia="en-GB"/>
      </w:rPr>
      <w:fldChar w:fldCharType="end"/>
    </w:r>
    <w:r w:rsidR="00161CB0" w:rsidRPr="006026D8">
      <w:rPr>
        <w:rFonts w:eastAsia="Calibri" w:cs="Arial"/>
        <w:sz w:val="20"/>
        <w:szCs w:val="20"/>
        <w:lang w:eastAsia="en-GB"/>
      </w:rPr>
      <w:t>)</w:t>
    </w:r>
    <w:r w:rsidR="00161CB0">
      <w:rPr>
        <w:rFonts w:eastAsia="Calibri" w:cs="Arial"/>
        <w:sz w:val="20"/>
        <w:szCs w:val="20"/>
        <w:lang w:eastAsia="en-GB"/>
      </w:rPr>
      <w:tab/>
    </w:r>
    <w:r w:rsidR="00161CB0">
      <w:rPr>
        <w:rFonts w:eastAsia="Calibri" w:cs="Arial"/>
        <w:sz w:val="20"/>
        <w:szCs w:val="20"/>
        <w:lang w:eastAsia="en-GB"/>
      </w:rPr>
      <w:tab/>
    </w:r>
    <w:r w:rsidR="00161CB0">
      <w:rPr>
        <w:rFonts w:eastAsia="Calibri" w:cs="Arial"/>
        <w:sz w:val="20"/>
        <w:szCs w:val="20"/>
        <w:lang w:eastAsia="en-GB"/>
      </w:rPr>
      <w:tab/>
    </w:r>
    <w:r w:rsidR="00161CB0">
      <w:rPr>
        <w:rFonts w:eastAsia="Calibri" w:cs="Arial"/>
        <w:sz w:val="20"/>
        <w:szCs w:val="20"/>
        <w:lang w:eastAsia="en-GB"/>
      </w:rPr>
      <w:tab/>
    </w:r>
    <w:r w:rsidR="00161CB0" w:rsidRPr="00161CB0">
      <w:rPr>
        <w:rFonts w:eastAsia="Calibri" w:cs="Arial"/>
        <w:sz w:val="20"/>
        <w:szCs w:val="20"/>
        <w:lang w:eastAsia="en-GB"/>
      </w:rPr>
      <w:t xml:space="preserve">Page </w:t>
    </w:r>
    <w:r w:rsidR="00161CB0" w:rsidRPr="00161CB0">
      <w:rPr>
        <w:rFonts w:eastAsia="Calibri" w:cs="Arial"/>
        <w:b/>
        <w:bCs/>
        <w:sz w:val="20"/>
        <w:szCs w:val="20"/>
        <w:lang w:eastAsia="en-GB"/>
      </w:rPr>
      <w:fldChar w:fldCharType="begin"/>
    </w:r>
    <w:r w:rsidR="00161CB0" w:rsidRPr="00161CB0">
      <w:rPr>
        <w:rFonts w:eastAsia="Calibri" w:cs="Arial"/>
        <w:b/>
        <w:bCs/>
        <w:sz w:val="20"/>
        <w:szCs w:val="20"/>
        <w:lang w:eastAsia="en-GB"/>
      </w:rPr>
      <w:instrText xml:space="preserve"> PAGE  \* Arabic  \* MERGEFORMAT </w:instrText>
    </w:r>
    <w:r w:rsidR="00161CB0" w:rsidRPr="00161CB0">
      <w:rPr>
        <w:rFonts w:eastAsia="Calibri" w:cs="Arial"/>
        <w:b/>
        <w:bCs/>
        <w:sz w:val="20"/>
        <w:szCs w:val="20"/>
        <w:lang w:eastAsia="en-GB"/>
      </w:rPr>
      <w:fldChar w:fldCharType="separate"/>
    </w:r>
    <w:r w:rsidR="00161CB0">
      <w:rPr>
        <w:rFonts w:eastAsia="Calibri" w:cs="Arial"/>
        <w:b/>
        <w:bCs/>
        <w:sz w:val="20"/>
        <w:szCs w:val="20"/>
        <w:lang w:eastAsia="en-GB"/>
      </w:rPr>
      <w:t>1</w:t>
    </w:r>
    <w:r w:rsidR="00161CB0" w:rsidRPr="00161CB0">
      <w:rPr>
        <w:rFonts w:eastAsia="Calibri" w:cs="Arial"/>
        <w:b/>
        <w:bCs/>
        <w:sz w:val="20"/>
        <w:szCs w:val="20"/>
        <w:lang w:eastAsia="en-GB"/>
      </w:rPr>
      <w:fldChar w:fldCharType="end"/>
    </w:r>
    <w:r w:rsidR="00161CB0" w:rsidRPr="00161CB0">
      <w:rPr>
        <w:rFonts w:eastAsia="Calibri" w:cs="Arial"/>
        <w:sz w:val="20"/>
        <w:szCs w:val="20"/>
        <w:lang w:eastAsia="en-GB"/>
      </w:rPr>
      <w:t xml:space="preserve"> of </w:t>
    </w:r>
    <w:r w:rsidR="00161CB0">
      <w:rPr>
        <w:rFonts w:eastAsia="Calibri" w:cs="Arial"/>
        <w:b/>
        <w:bCs/>
        <w:sz w:val="20"/>
        <w:szCs w:val="20"/>
        <w:lang w:eastAsia="en-GB"/>
      </w:rPr>
      <w:t>9</w:t>
    </w:r>
  </w:p>
  <w:p w14:paraId="6AC7BCC8" w14:textId="2365451C" w:rsidR="00672317" w:rsidRDefault="00672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64FA" w14:textId="77777777" w:rsidR="00161CB0" w:rsidRPr="006026D8" w:rsidRDefault="00161CB0" w:rsidP="006026D8">
    <w:pPr>
      <w:pBdr>
        <w:top w:val="single" w:sz="8" w:space="1" w:color="auto"/>
      </w:pBdr>
      <w:tabs>
        <w:tab w:val="right" w:pos="9072"/>
      </w:tabs>
      <w:spacing w:after="0" w:line="264" w:lineRule="auto"/>
      <w:rPr>
        <w:rFonts w:eastAsia="Calibri" w:cs="Arial"/>
        <w:b/>
        <w:sz w:val="20"/>
        <w:szCs w:val="20"/>
        <w:lang w:eastAsia="en-GB"/>
      </w:rPr>
    </w:pPr>
    <w:r w:rsidRPr="006026D8">
      <w:rPr>
        <w:rFonts w:eastAsia="Calibri" w:cs="Arial"/>
        <w:b/>
        <w:sz w:val="20"/>
        <w:szCs w:val="20"/>
        <w:lang w:eastAsia="en-GB"/>
      </w:rPr>
      <w:t>Assessing and Supporting People with Multiple and Complex Needs</w:t>
    </w:r>
  </w:p>
  <w:p w14:paraId="0150A8A2" w14:textId="77777777" w:rsidR="00161CB0" w:rsidRPr="006026D8" w:rsidRDefault="00161CB0" w:rsidP="006026D8">
    <w:pPr>
      <w:pBdr>
        <w:top w:val="single" w:sz="8" w:space="1" w:color="auto"/>
      </w:pBdr>
      <w:tabs>
        <w:tab w:val="right" w:pos="9072"/>
      </w:tabs>
      <w:spacing w:after="0" w:line="264" w:lineRule="auto"/>
      <w:rPr>
        <w:rFonts w:eastAsia="Calibri" w:cs="Arial"/>
        <w:b/>
        <w:sz w:val="20"/>
        <w:szCs w:val="20"/>
        <w:lang w:eastAsia="en-GB"/>
      </w:rPr>
    </w:pPr>
    <w:r w:rsidRPr="006026D8">
      <w:rPr>
        <w:rFonts w:eastAsia="Calibri" w:cs="Arial"/>
        <w:b/>
        <w:sz w:val="20"/>
        <w:szCs w:val="20"/>
        <w:lang w:eastAsia="en-GB"/>
      </w:rPr>
      <w:t>Version: 2</w:t>
    </w:r>
    <w:r w:rsidRPr="006026D8">
      <w:rPr>
        <w:rFonts w:eastAsia="Calibri" w:cs="Arial"/>
        <w:b/>
        <w:sz w:val="20"/>
        <w:szCs w:val="20"/>
        <w:lang w:eastAsia="en-GB"/>
      </w:rPr>
      <w:tab/>
    </w:r>
  </w:p>
  <w:p w14:paraId="0E621237" w14:textId="6142EB40" w:rsidR="00161CB0" w:rsidRPr="006026D8" w:rsidRDefault="006B5F66" w:rsidP="006026D8">
    <w:pPr>
      <w:pBdr>
        <w:top w:val="single" w:sz="8" w:space="1" w:color="auto"/>
      </w:pBdr>
      <w:spacing w:after="0" w:line="264" w:lineRule="auto"/>
      <w:rPr>
        <w:rFonts w:eastAsia="Calibri" w:cs="Arial"/>
        <w:sz w:val="20"/>
        <w:szCs w:val="20"/>
        <w:lang w:eastAsia="en-GB"/>
      </w:rPr>
    </w:pPr>
    <w:r>
      <w:rPr>
        <w:rFonts w:eastAsia="Calibri" w:cs="Arial"/>
        <w:b/>
        <w:sz w:val="20"/>
        <w:szCs w:val="20"/>
        <w:lang w:eastAsia="en-GB"/>
      </w:rPr>
      <w:t>December</w:t>
    </w:r>
    <w:r w:rsidR="00161CB0" w:rsidRPr="006026D8">
      <w:rPr>
        <w:rFonts w:eastAsia="Calibri" w:cs="Arial"/>
        <w:b/>
        <w:sz w:val="20"/>
        <w:szCs w:val="20"/>
        <w:lang w:eastAsia="en-GB"/>
      </w:rPr>
      <w:t xml:space="preserve"> 2021</w:t>
    </w:r>
    <w:r w:rsidR="00161CB0" w:rsidRPr="006026D8">
      <w:rPr>
        <w:rFonts w:eastAsia="Calibri" w:cs="Arial"/>
        <w:sz w:val="20"/>
        <w:szCs w:val="20"/>
        <w:lang w:eastAsia="en-GB"/>
      </w:rPr>
      <w:t xml:space="preserve"> (date printed: </w:t>
    </w:r>
    <w:r w:rsidR="00161CB0" w:rsidRPr="006026D8">
      <w:rPr>
        <w:rFonts w:eastAsia="Calibri" w:cs="Arial"/>
        <w:sz w:val="20"/>
        <w:szCs w:val="20"/>
        <w:lang w:eastAsia="en-GB"/>
      </w:rPr>
      <w:fldChar w:fldCharType="begin"/>
    </w:r>
    <w:r w:rsidR="00161CB0" w:rsidRPr="006026D8">
      <w:rPr>
        <w:rFonts w:eastAsia="Calibri" w:cs="Arial"/>
        <w:sz w:val="20"/>
        <w:szCs w:val="20"/>
        <w:lang w:eastAsia="en-GB"/>
      </w:rPr>
      <w:instrText xml:space="preserve"> DATE \@ "dd MMMM yyyy" </w:instrText>
    </w:r>
    <w:r w:rsidR="00161CB0" w:rsidRPr="006026D8">
      <w:rPr>
        <w:rFonts w:eastAsia="Calibri" w:cs="Arial"/>
        <w:sz w:val="20"/>
        <w:szCs w:val="20"/>
        <w:lang w:eastAsia="en-GB"/>
      </w:rPr>
      <w:fldChar w:fldCharType="separate"/>
    </w:r>
    <w:r w:rsidR="00CC520B">
      <w:rPr>
        <w:rFonts w:eastAsia="Calibri" w:cs="Arial"/>
        <w:noProof/>
        <w:sz w:val="20"/>
        <w:szCs w:val="20"/>
        <w:lang w:eastAsia="en-GB"/>
      </w:rPr>
      <w:t>29 May 2024</w:t>
    </w:r>
    <w:r w:rsidR="00161CB0" w:rsidRPr="006026D8">
      <w:rPr>
        <w:rFonts w:eastAsia="Calibri" w:cs="Arial"/>
        <w:sz w:val="20"/>
        <w:szCs w:val="20"/>
        <w:lang w:eastAsia="en-GB"/>
      </w:rPr>
      <w:fldChar w:fldCharType="end"/>
    </w:r>
    <w:r w:rsidR="00161CB0" w:rsidRPr="006026D8">
      <w:rPr>
        <w:rFonts w:eastAsia="Calibri" w:cs="Arial"/>
        <w:sz w:val="20"/>
        <w:szCs w:val="20"/>
        <w:lang w:eastAsia="en-GB"/>
      </w:rPr>
      <w:t>)</w:t>
    </w:r>
    <w:r w:rsidR="00161CB0">
      <w:rPr>
        <w:rFonts w:eastAsia="Calibri" w:cs="Arial"/>
        <w:sz w:val="20"/>
        <w:szCs w:val="20"/>
        <w:lang w:eastAsia="en-GB"/>
      </w:rPr>
      <w:tab/>
    </w:r>
    <w:r w:rsidR="00161CB0">
      <w:rPr>
        <w:rFonts w:eastAsia="Calibri" w:cs="Arial"/>
        <w:sz w:val="20"/>
        <w:szCs w:val="20"/>
        <w:lang w:eastAsia="en-GB"/>
      </w:rPr>
      <w:tab/>
    </w:r>
    <w:r w:rsidR="00161CB0">
      <w:rPr>
        <w:rFonts w:eastAsia="Calibri" w:cs="Arial"/>
        <w:sz w:val="20"/>
        <w:szCs w:val="20"/>
        <w:lang w:eastAsia="en-GB"/>
      </w:rPr>
      <w:tab/>
    </w:r>
    <w:r w:rsidR="00161CB0">
      <w:rPr>
        <w:rFonts w:eastAsia="Calibri" w:cs="Arial"/>
        <w:sz w:val="20"/>
        <w:szCs w:val="20"/>
        <w:lang w:eastAsia="en-GB"/>
      </w:rPr>
      <w:tab/>
    </w:r>
    <w:r w:rsidR="00161CB0" w:rsidRPr="00161CB0">
      <w:rPr>
        <w:rFonts w:eastAsia="Calibri" w:cs="Arial"/>
        <w:sz w:val="20"/>
        <w:szCs w:val="20"/>
        <w:lang w:eastAsia="en-GB"/>
      </w:rPr>
      <w:t xml:space="preserve">Page </w:t>
    </w:r>
    <w:r w:rsidR="00161CB0" w:rsidRPr="00161CB0">
      <w:rPr>
        <w:rFonts w:eastAsia="Calibri" w:cs="Arial"/>
        <w:b/>
        <w:bCs/>
        <w:sz w:val="20"/>
        <w:szCs w:val="20"/>
        <w:lang w:eastAsia="en-GB"/>
      </w:rPr>
      <w:fldChar w:fldCharType="begin"/>
    </w:r>
    <w:r w:rsidR="00161CB0" w:rsidRPr="00161CB0">
      <w:rPr>
        <w:rFonts w:eastAsia="Calibri" w:cs="Arial"/>
        <w:b/>
        <w:bCs/>
        <w:sz w:val="20"/>
        <w:szCs w:val="20"/>
        <w:lang w:eastAsia="en-GB"/>
      </w:rPr>
      <w:instrText xml:space="preserve"> PAGE  \* Arabic  \* MERGEFORMAT </w:instrText>
    </w:r>
    <w:r w:rsidR="00161CB0" w:rsidRPr="00161CB0">
      <w:rPr>
        <w:rFonts w:eastAsia="Calibri" w:cs="Arial"/>
        <w:b/>
        <w:bCs/>
        <w:sz w:val="20"/>
        <w:szCs w:val="20"/>
        <w:lang w:eastAsia="en-GB"/>
      </w:rPr>
      <w:fldChar w:fldCharType="separate"/>
    </w:r>
    <w:r w:rsidR="00161CB0" w:rsidRPr="00161CB0">
      <w:rPr>
        <w:rFonts w:eastAsia="Calibri" w:cs="Arial"/>
        <w:b/>
        <w:bCs/>
        <w:noProof/>
        <w:sz w:val="20"/>
        <w:szCs w:val="20"/>
        <w:lang w:eastAsia="en-GB"/>
      </w:rPr>
      <w:t>1</w:t>
    </w:r>
    <w:r w:rsidR="00161CB0" w:rsidRPr="00161CB0">
      <w:rPr>
        <w:rFonts w:eastAsia="Calibri" w:cs="Arial"/>
        <w:b/>
        <w:bCs/>
        <w:sz w:val="20"/>
        <w:szCs w:val="20"/>
        <w:lang w:eastAsia="en-GB"/>
      </w:rPr>
      <w:fldChar w:fldCharType="end"/>
    </w:r>
    <w:r w:rsidR="00161CB0" w:rsidRPr="00161CB0">
      <w:rPr>
        <w:rFonts w:eastAsia="Calibri" w:cs="Arial"/>
        <w:sz w:val="20"/>
        <w:szCs w:val="20"/>
        <w:lang w:eastAsia="en-GB"/>
      </w:rPr>
      <w:t xml:space="preserve"> of </w:t>
    </w:r>
    <w:r w:rsidR="00161CB0">
      <w:rPr>
        <w:rFonts w:eastAsia="Calibri" w:cs="Arial"/>
        <w:b/>
        <w:bCs/>
        <w:sz w:val="20"/>
        <w:szCs w:val="20"/>
        <w:lang w:eastAsia="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041B" w14:textId="77777777" w:rsidR="00C975E8" w:rsidRDefault="00C975E8" w:rsidP="00F049A7">
      <w:r>
        <w:separator/>
      </w:r>
    </w:p>
  </w:footnote>
  <w:footnote w:type="continuationSeparator" w:id="0">
    <w:p w14:paraId="775C0D5A" w14:textId="77777777" w:rsidR="00C975E8" w:rsidRDefault="00C975E8" w:rsidP="00F04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D29"/>
    <w:multiLevelType w:val="hybridMultilevel"/>
    <w:tmpl w:val="A036B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956BF"/>
    <w:multiLevelType w:val="hybridMultilevel"/>
    <w:tmpl w:val="C20AA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B6DAD"/>
    <w:multiLevelType w:val="hybridMultilevel"/>
    <w:tmpl w:val="C3B21D4A"/>
    <w:lvl w:ilvl="0" w:tplc="0A5849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D34"/>
    <w:multiLevelType w:val="hybridMultilevel"/>
    <w:tmpl w:val="B1082564"/>
    <w:lvl w:ilvl="0" w:tplc="9DD43450">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6BA8"/>
    <w:multiLevelType w:val="hybridMultilevel"/>
    <w:tmpl w:val="9580CDD0"/>
    <w:lvl w:ilvl="0" w:tplc="08090003">
      <w:start w:val="1"/>
      <w:numFmt w:val="bullet"/>
      <w:lvlText w:val="o"/>
      <w:lvlJc w:val="left"/>
      <w:pPr>
        <w:ind w:left="674" w:hanging="360"/>
      </w:pPr>
      <w:rPr>
        <w:rFonts w:ascii="Courier New" w:hAnsi="Courier New" w:cs="Courier New"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5" w15:restartNumberingAfterBreak="0">
    <w:nsid w:val="0C597338"/>
    <w:multiLevelType w:val="hybridMultilevel"/>
    <w:tmpl w:val="02BE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80D32"/>
    <w:multiLevelType w:val="hybridMultilevel"/>
    <w:tmpl w:val="B54E0C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90A17"/>
    <w:multiLevelType w:val="multilevel"/>
    <w:tmpl w:val="39F02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asciiTheme="minorHAnsi" w:hAnsiTheme="minorHAnsi" w:hint="default"/>
        <w:b w:val="0"/>
        <w:sz w:val="22"/>
        <w:szCs w:val="22"/>
      </w:rPr>
    </w:lvl>
    <w:lvl w:ilvl="2">
      <w:start w:val="1"/>
      <w:numFmt w:val="decimal"/>
      <w:lvlText w:val="%1.%2.%3."/>
      <w:lvlJc w:val="left"/>
      <w:pPr>
        <w:tabs>
          <w:tab w:val="num" w:pos="6175"/>
        </w:tabs>
        <w:ind w:left="617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215C97"/>
    <w:multiLevelType w:val="hybridMultilevel"/>
    <w:tmpl w:val="A6D49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74674"/>
    <w:multiLevelType w:val="hybridMultilevel"/>
    <w:tmpl w:val="42D2F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C90222"/>
    <w:multiLevelType w:val="multilevel"/>
    <w:tmpl w:val="5168969C"/>
    <w:lvl w:ilvl="0">
      <w:start w:val="1"/>
      <w:numFmt w:val="bullet"/>
      <w:lvlText w:val=""/>
      <w:lvlJc w:val="left"/>
      <w:pPr>
        <w:ind w:left="400" w:hanging="400"/>
      </w:pPr>
      <w:rPr>
        <w:rFonts w:ascii="Symbol" w:hAnsi="Symbol"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144FC"/>
    <w:multiLevelType w:val="hybridMultilevel"/>
    <w:tmpl w:val="801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129B0"/>
    <w:multiLevelType w:val="hybridMultilevel"/>
    <w:tmpl w:val="094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A19B3"/>
    <w:multiLevelType w:val="multilevel"/>
    <w:tmpl w:val="8CBEF074"/>
    <w:lvl w:ilvl="0">
      <w:start w:val="1"/>
      <w:numFmt w:val="bullet"/>
      <w:pStyle w:val="Bullet2"/>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2E2C59"/>
    <w:multiLevelType w:val="hybridMultilevel"/>
    <w:tmpl w:val="B2DAD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7B4BD8"/>
    <w:multiLevelType w:val="multilevel"/>
    <w:tmpl w:val="BDB4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C7BE7"/>
    <w:multiLevelType w:val="hybridMultilevel"/>
    <w:tmpl w:val="35B4A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8584F"/>
    <w:multiLevelType w:val="hybridMultilevel"/>
    <w:tmpl w:val="0BDA25A6"/>
    <w:lvl w:ilvl="0" w:tplc="CEAC3588">
      <w:start w:val="1"/>
      <w:numFmt w:val="bullet"/>
      <w:lvlText w:val=""/>
      <w:lvlJc w:val="left"/>
      <w:pPr>
        <w:ind w:left="751" w:hanging="360"/>
      </w:pPr>
      <w:rPr>
        <w:rFonts w:ascii="Symbol" w:hAnsi="Symbol" w:hint="default"/>
        <w:color w:val="auto"/>
      </w:rPr>
    </w:lvl>
    <w:lvl w:ilvl="1" w:tplc="08090003">
      <w:start w:val="1"/>
      <w:numFmt w:val="bullet"/>
      <w:lvlText w:val="o"/>
      <w:lvlJc w:val="left"/>
      <w:pPr>
        <w:ind w:left="1471" w:hanging="360"/>
      </w:pPr>
      <w:rPr>
        <w:rFonts w:ascii="Courier New" w:hAnsi="Courier New" w:cs="Courier New" w:hint="default"/>
      </w:rPr>
    </w:lvl>
    <w:lvl w:ilvl="2" w:tplc="08090005">
      <w:start w:val="1"/>
      <w:numFmt w:val="bullet"/>
      <w:lvlText w:val=""/>
      <w:lvlJc w:val="left"/>
      <w:pPr>
        <w:ind w:left="2191" w:hanging="360"/>
      </w:pPr>
      <w:rPr>
        <w:rFonts w:ascii="Wingdings" w:hAnsi="Wingdings" w:hint="default"/>
      </w:rPr>
    </w:lvl>
    <w:lvl w:ilvl="3" w:tplc="08090001">
      <w:start w:val="1"/>
      <w:numFmt w:val="bullet"/>
      <w:lvlText w:val=""/>
      <w:lvlJc w:val="left"/>
      <w:pPr>
        <w:ind w:left="2911" w:hanging="360"/>
      </w:pPr>
      <w:rPr>
        <w:rFonts w:ascii="Symbol" w:hAnsi="Symbol" w:hint="default"/>
      </w:rPr>
    </w:lvl>
    <w:lvl w:ilvl="4" w:tplc="08090003">
      <w:start w:val="1"/>
      <w:numFmt w:val="bullet"/>
      <w:lvlText w:val="o"/>
      <w:lvlJc w:val="left"/>
      <w:pPr>
        <w:ind w:left="3631" w:hanging="360"/>
      </w:pPr>
      <w:rPr>
        <w:rFonts w:ascii="Courier New" w:hAnsi="Courier New" w:cs="Courier New" w:hint="default"/>
      </w:rPr>
    </w:lvl>
    <w:lvl w:ilvl="5" w:tplc="08090005">
      <w:start w:val="1"/>
      <w:numFmt w:val="bullet"/>
      <w:lvlText w:val=""/>
      <w:lvlJc w:val="left"/>
      <w:pPr>
        <w:ind w:left="4351" w:hanging="360"/>
      </w:pPr>
      <w:rPr>
        <w:rFonts w:ascii="Wingdings" w:hAnsi="Wingdings" w:hint="default"/>
      </w:rPr>
    </w:lvl>
    <w:lvl w:ilvl="6" w:tplc="08090001">
      <w:start w:val="1"/>
      <w:numFmt w:val="bullet"/>
      <w:lvlText w:val=""/>
      <w:lvlJc w:val="left"/>
      <w:pPr>
        <w:ind w:left="5071" w:hanging="360"/>
      </w:pPr>
      <w:rPr>
        <w:rFonts w:ascii="Symbol" w:hAnsi="Symbol" w:hint="default"/>
      </w:rPr>
    </w:lvl>
    <w:lvl w:ilvl="7" w:tplc="08090003">
      <w:start w:val="1"/>
      <w:numFmt w:val="bullet"/>
      <w:lvlText w:val="o"/>
      <w:lvlJc w:val="left"/>
      <w:pPr>
        <w:ind w:left="5791" w:hanging="360"/>
      </w:pPr>
      <w:rPr>
        <w:rFonts w:ascii="Courier New" w:hAnsi="Courier New" w:cs="Courier New" w:hint="default"/>
      </w:rPr>
    </w:lvl>
    <w:lvl w:ilvl="8" w:tplc="08090005">
      <w:start w:val="1"/>
      <w:numFmt w:val="bullet"/>
      <w:lvlText w:val=""/>
      <w:lvlJc w:val="left"/>
      <w:pPr>
        <w:ind w:left="6511" w:hanging="360"/>
      </w:pPr>
      <w:rPr>
        <w:rFonts w:ascii="Wingdings" w:hAnsi="Wingdings" w:hint="default"/>
      </w:rPr>
    </w:lvl>
  </w:abstractNum>
  <w:abstractNum w:abstractNumId="18" w15:restartNumberingAfterBreak="0">
    <w:nsid w:val="2DF82BFB"/>
    <w:multiLevelType w:val="multilevel"/>
    <w:tmpl w:val="DE38A9C6"/>
    <w:lvl w:ilvl="0">
      <w:start w:val="1"/>
      <w:numFmt w:val="bullet"/>
      <w:pStyle w:val="ListParagraph"/>
      <w:lvlText w:val=""/>
      <w:lvlJc w:val="left"/>
      <w:pPr>
        <w:ind w:left="400" w:hanging="400"/>
      </w:pPr>
      <w:rPr>
        <w:rFonts w:ascii="Symbol" w:hAnsi="Symbol"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09069F"/>
    <w:multiLevelType w:val="hybridMultilevel"/>
    <w:tmpl w:val="6F04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C506E"/>
    <w:multiLevelType w:val="hybridMultilevel"/>
    <w:tmpl w:val="BA782748"/>
    <w:lvl w:ilvl="0" w:tplc="83BC28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B6B2B"/>
    <w:multiLevelType w:val="multilevel"/>
    <w:tmpl w:val="5168969C"/>
    <w:lvl w:ilvl="0">
      <w:start w:val="1"/>
      <w:numFmt w:val="bullet"/>
      <w:lvlText w:val=""/>
      <w:lvlJc w:val="left"/>
      <w:pPr>
        <w:ind w:left="400" w:hanging="400"/>
      </w:pPr>
      <w:rPr>
        <w:rFonts w:ascii="Symbol" w:hAnsi="Symbol"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516C01"/>
    <w:multiLevelType w:val="hybridMultilevel"/>
    <w:tmpl w:val="52D8C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AB6E09"/>
    <w:multiLevelType w:val="hybridMultilevel"/>
    <w:tmpl w:val="2E46B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AF0523"/>
    <w:multiLevelType w:val="multilevel"/>
    <w:tmpl w:val="5168969C"/>
    <w:lvl w:ilvl="0">
      <w:start w:val="1"/>
      <w:numFmt w:val="bullet"/>
      <w:lvlText w:val=""/>
      <w:lvlJc w:val="left"/>
      <w:pPr>
        <w:ind w:left="400" w:hanging="400"/>
      </w:pPr>
      <w:rPr>
        <w:rFonts w:ascii="Symbol" w:hAnsi="Symbol"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F465FD"/>
    <w:multiLevelType w:val="hybridMultilevel"/>
    <w:tmpl w:val="B43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F7F39"/>
    <w:multiLevelType w:val="hybridMultilevel"/>
    <w:tmpl w:val="E8B40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3A279C"/>
    <w:multiLevelType w:val="hybridMultilevel"/>
    <w:tmpl w:val="847AA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357D2E"/>
    <w:multiLevelType w:val="hybridMultilevel"/>
    <w:tmpl w:val="362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60A23"/>
    <w:multiLevelType w:val="hybridMultilevel"/>
    <w:tmpl w:val="9ACC0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D42E3C"/>
    <w:multiLevelType w:val="hybridMultilevel"/>
    <w:tmpl w:val="FCBA2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FB1659"/>
    <w:multiLevelType w:val="hybridMultilevel"/>
    <w:tmpl w:val="653E6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0B4335"/>
    <w:multiLevelType w:val="hybridMultilevel"/>
    <w:tmpl w:val="F7F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16DA2"/>
    <w:multiLevelType w:val="hybridMultilevel"/>
    <w:tmpl w:val="55FE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D5583"/>
    <w:multiLevelType w:val="multilevel"/>
    <w:tmpl w:val="704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D7185D"/>
    <w:multiLevelType w:val="multilevel"/>
    <w:tmpl w:val="99422946"/>
    <w:lvl w:ilvl="0">
      <w:start w:val="1"/>
      <w:numFmt w:val="bullet"/>
      <w:lvlText w:val="-"/>
      <w:lvlJc w:val="left"/>
      <w:pPr>
        <w:ind w:left="400" w:hanging="400"/>
      </w:pPr>
      <w:rPr>
        <w:rFonts w:ascii="Times New Roman" w:eastAsiaTheme="minorHAnsi" w:hAnsi="Times New Roman" w:cs="Times New Roman"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1149D2"/>
    <w:multiLevelType w:val="hybridMultilevel"/>
    <w:tmpl w:val="9634E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F858FB"/>
    <w:multiLevelType w:val="hybridMultilevel"/>
    <w:tmpl w:val="CD4C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70561E"/>
    <w:multiLevelType w:val="hybridMultilevel"/>
    <w:tmpl w:val="F26E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44176"/>
    <w:multiLevelType w:val="multilevel"/>
    <w:tmpl w:val="5168969C"/>
    <w:lvl w:ilvl="0">
      <w:start w:val="1"/>
      <w:numFmt w:val="bullet"/>
      <w:lvlText w:val=""/>
      <w:lvlJc w:val="left"/>
      <w:pPr>
        <w:ind w:left="400" w:hanging="400"/>
      </w:pPr>
      <w:rPr>
        <w:rFonts w:ascii="Symbol" w:hAnsi="Symbol"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9B05C8"/>
    <w:multiLevelType w:val="multilevel"/>
    <w:tmpl w:val="16B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10068"/>
    <w:multiLevelType w:val="multilevel"/>
    <w:tmpl w:val="5168969C"/>
    <w:lvl w:ilvl="0">
      <w:start w:val="1"/>
      <w:numFmt w:val="bullet"/>
      <w:lvlText w:val=""/>
      <w:lvlJc w:val="left"/>
      <w:pPr>
        <w:ind w:left="400" w:hanging="400"/>
      </w:pPr>
      <w:rPr>
        <w:rFonts w:ascii="Symbol" w:hAnsi="Symbol"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D45C08"/>
    <w:multiLevelType w:val="hybridMultilevel"/>
    <w:tmpl w:val="C3AAC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AD5ECA"/>
    <w:multiLevelType w:val="multilevel"/>
    <w:tmpl w:val="919E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F654B1"/>
    <w:multiLevelType w:val="hybridMultilevel"/>
    <w:tmpl w:val="EE8C1070"/>
    <w:lvl w:ilvl="0" w:tplc="08090001">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4520E"/>
    <w:multiLevelType w:val="hybridMultilevel"/>
    <w:tmpl w:val="5D62CE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93161FFC">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F40485"/>
    <w:multiLevelType w:val="hybridMultilevel"/>
    <w:tmpl w:val="154EA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57409F"/>
    <w:multiLevelType w:val="hybridMultilevel"/>
    <w:tmpl w:val="6D56E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BC61FE"/>
    <w:multiLevelType w:val="hybridMultilevel"/>
    <w:tmpl w:val="CDFAA4CE"/>
    <w:lvl w:ilvl="0" w:tplc="F63CF09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15:restartNumberingAfterBreak="0">
    <w:nsid w:val="7B7101FB"/>
    <w:multiLevelType w:val="hybridMultilevel"/>
    <w:tmpl w:val="3C062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BBB03B4"/>
    <w:multiLevelType w:val="hybridMultilevel"/>
    <w:tmpl w:val="7AD4A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423162"/>
    <w:multiLevelType w:val="hybridMultilevel"/>
    <w:tmpl w:val="7CD0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C036A3"/>
    <w:multiLevelType w:val="hybridMultilevel"/>
    <w:tmpl w:val="8734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286B5C"/>
    <w:multiLevelType w:val="hybridMultilevel"/>
    <w:tmpl w:val="F0F0B6BA"/>
    <w:lvl w:ilvl="0" w:tplc="B28429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700765">
    <w:abstractNumId w:val="25"/>
  </w:num>
  <w:num w:numId="2" w16cid:durableId="275403450">
    <w:abstractNumId w:val="33"/>
  </w:num>
  <w:num w:numId="3" w16cid:durableId="1644384401">
    <w:abstractNumId w:val="12"/>
  </w:num>
  <w:num w:numId="4" w16cid:durableId="1707173263">
    <w:abstractNumId w:val="32"/>
  </w:num>
  <w:num w:numId="5" w16cid:durableId="523983089">
    <w:abstractNumId w:val="38"/>
  </w:num>
  <w:num w:numId="6" w16cid:durableId="766124324">
    <w:abstractNumId w:val="47"/>
  </w:num>
  <w:num w:numId="7" w16cid:durableId="1964269579">
    <w:abstractNumId w:val="31"/>
  </w:num>
  <w:num w:numId="8" w16cid:durableId="443816376">
    <w:abstractNumId w:val="0"/>
  </w:num>
  <w:num w:numId="9" w16cid:durableId="1996641765">
    <w:abstractNumId w:val="14"/>
  </w:num>
  <w:num w:numId="10" w16cid:durableId="1865749321">
    <w:abstractNumId w:val="29"/>
  </w:num>
  <w:num w:numId="11" w16cid:durableId="797601311">
    <w:abstractNumId w:val="46"/>
  </w:num>
  <w:num w:numId="12" w16cid:durableId="89933902">
    <w:abstractNumId w:val="1"/>
  </w:num>
  <w:num w:numId="13" w16cid:durableId="231816676">
    <w:abstractNumId w:val="9"/>
  </w:num>
  <w:num w:numId="14" w16cid:durableId="830560434">
    <w:abstractNumId w:val="26"/>
  </w:num>
  <w:num w:numId="15" w16cid:durableId="1049570921">
    <w:abstractNumId w:val="23"/>
  </w:num>
  <w:num w:numId="16" w16cid:durableId="968166270">
    <w:abstractNumId w:val="22"/>
  </w:num>
  <w:num w:numId="17" w16cid:durableId="1622492215">
    <w:abstractNumId w:val="37"/>
  </w:num>
  <w:num w:numId="18" w16cid:durableId="186843517">
    <w:abstractNumId w:val="17"/>
  </w:num>
  <w:num w:numId="19" w16cid:durableId="21245308">
    <w:abstractNumId w:val="4"/>
  </w:num>
  <w:num w:numId="20" w16cid:durableId="643195658">
    <w:abstractNumId w:val="19"/>
  </w:num>
  <w:num w:numId="21" w16cid:durableId="601231540">
    <w:abstractNumId w:val="50"/>
  </w:num>
  <w:num w:numId="22" w16cid:durableId="28533552">
    <w:abstractNumId w:val="16"/>
  </w:num>
  <w:num w:numId="23" w16cid:durableId="1518731366">
    <w:abstractNumId w:val="49"/>
  </w:num>
  <w:num w:numId="24" w16cid:durableId="1606113193">
    <w:abstractNumId w:val="27"/>
  </w:num>
  <w:num w:numId="25" w16cid:durableId="1455900713">
    <w:abstractNumId w:val="3"/>
  </w:num>
  <w:num w:numId="26" w16cid:durableId="1538859842">
    <w:abstractNumId w:val="44"/>
  </w:num>
  <w:num w:numId="27" w16cid:durableId="300497803">
    <w:abstractNumId w:val="51"/>
  </w:num>
  <w:num w:numId="28" w16cid:durableId="243074475">
    <w:abstractNumId w:val="8"/>
  </w:num>
  <w:num w:numId="29" w16cid:durableId="880752475">
    <w:abstractNumId w:val="36"/>
  </w:num>
  <w:num w:numId="30" w16cid:durableId="2133399087">
    <w:abstractNumId w:val="42"/>
  </w:num>
  <w:num w:numId="31" w16cid:durableId="930898158">
    <w:abstractNumId w:val="30"/>
  </w:num>
  <w:num w:numId="32" w16cid:durableId="1074863189">
    <w:abstractNumId w:val="40"/>
  </w:num>
  <w:num w:numId="33" w16cid:durableId="1942715887">
    <w:abstractNumId w:val="6"/>
  </w:num>
  <w:num w:numId="34" w16cid:durableId="1335492825">
    <w:abstractNumId w:val="52"/>
  </w:num>
  <w:num w:numId="35" w16cid:durableId="844593748">
    <w:abstractNumId w:val="20"/>
  </w:num>
  <w:num w:numId="36" w16cid:durableId="634987237">
    <w:abstractNumId w:val="7"/>
  </w:num>
  <w:num w:numId="37" w16cid:durableId="1091123198">
    <w:abstractNumId w:val="11"/>
  </w:num>
  <w:num w:numId="38" w16cid:durableId="1486240405">
    <w:abstractNumId w:val="39"/>
  </w:num>
  <w:num w:numId="39" w16cid:durableId="1483160670">
    <w:abstractNumId w:val="28"/>
  </w:num>
  <w:num w:numId="40" w16cid:durableId="1620255627">
    <w:abstractNumId w:val="2"/>
  </w:num>
  <w:num w:numId="41" w16cid:durableId="1889417131">
    <w:abstractNumId w:val="53"/>
  </w:num>
  <w:num w:numId="42" w16cid:durableId="258946500">
    <w:abstractNumId w:val="21"/>
  </w:num>
  <w:num w:numId="43" w16cid:durableId="760371056">
    <w:abstractNumId w:val="10"/>
  </w:num>
  <w:num w:numId="44" w16cid:durableId="2090152855">
    <w:abstractNumId w:val="24"/>
  </w:num>
  <w:num w:numId="45" w16cid:durableId="923994418">
    <w:abstractNumId w:val="35"/>
  </w:num>
  <w:num w:numId="46" w16cid:durableId="937446668">
    <w:abstractNumId w:val="18"/>
  </w:num>
  <w:num w:numId="47" w16cid:durableId="406850231">
    <w:abstractNumId w:val="41"/>
  </w:num>
  <w:num w:numId="48" w16cid:durableId="913708553">
    <w:abstractNumId w:val="15"/>
  </w:num>
  <w:num w:numId="49" w16cid:durableId="685640748">
    <w:abstractNumId w:val="5"/>
  </w:num>
  <w:num w:numId="50" w16cid:durableId="1677228431">
    <w:abstractNumId w:val="48"/>
  </w:num>
  <w:num w:numId="51" w16cid:durableId="305357691">
    <w:abstractNumId w:val="45"/>
  </w:num>
  <w:num w:numId="52" w16cid:durableId="150030238">
    <w:abstractNumId w:val="43"/>
  </w:num>
  <w:num w:numId="53" w16cid:durableId="683628281">
    <w:abstractNumId w:val="34"/>
  </w:num>
  <w:num w:numId="54" w16cid:durableId="2517831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EF"/>
    <w:rsid w:val="00002B09"/>
    <w:rsid w:val="00026C21"/>
    <w:rsid w:val="00031052"/>
    <w:rsid w:val="0004378B"/>
    <w:rsid w:val="000513F8"/>
    <w:rsid w:val="000629BA"/>
    <w:rsid w:val="00083601"/>
    <w:rsid w:val="00090009"/>
    <w:rsid w:val="00096873"/>
    <w:rsid w:val="000B7999"/>
    <w:rsid w:val="000C0E8C"/>
    <w:rsid w:val="000E1B64"/>
    <w:rsid w:val="000F3D4F"/>
    <w:rsid w:val="00106F2C"/>
    <w:rsid w:val="00114473"/>
    <w:rsid w:val="00115066"/>
    <w:rsid w:val="00124885"/>
    <w:rsid w:val="00160E6D"/>
    <w:rsid w:val="00161CB0"/>
    <w:rsid w:val="001935EC"/>
    <w:rsid w:val="001E6737"/>
    <w:rsid w:val="00231B3D"/>
    <w:rsid w:val="002360E4"/>
    <w:rsid w:val="00245E76"/>
    <w:rsid w:val="00275A88"/>
    <w:rsid w:val="00285AF7"/>
    <w:rsid w:val="002B20A5"/>
    <w:rsid w:val="002D440E"/>
    <w:rsid w:val="002E7313"/>
    <w:rsid w:val="00323855"/>
    <w:rsid w:val="00330277"/>
    <w:rsid w:val="00354390"/>
    <w:rsid w:val="00364B48"/>
    <w:rsid w:val="00386322"/>
    <w:rsid w:val="003D56AD"/>
    <w:rsid w:val="003E0085"/>
    <w:rsid w:val="003E0D83"/>
    <w:rsid w:val="003E1D2B"/>
    <w:rsid w:val="003E694B"/>
    <w:rsid w:val="004053D0"/>
    <w:rsid w:val="00421E1C"/>
    <w:rsid w:val="0043143B"/>
    <w:rsid w:val="00442A1D"/>
    <w:rsid w:val="004A520C"/>
    <w:rsid w:val="004D3579"/>
    <w:rsid w:val="004D5027"/>
    <w:rsid w:val="004E226D"/>
    <w:rsid w:val="00503151"/>
    <w:rsid w:val="005136F6"/>
    <w:rsid w:val="00537E2D"/>
    <w:rsid w:val="00570D0B"/>
    <w:rsid w:val="00585F96"/>
    <w:rsid w:val="005A0E82"/>
    <w:rsid w:val="005A619E"/>
    <w:rsid w:val="005B7AD5"/>
    <w:rsid w:val="005E37E8"/>
    <w:rsid w:val="005F062F"/>
    <w:rsid w:val="005F3460"/>
    <w:rsid w:val="006026D8"/>
    <w:rsid w:val="00605A86"/>
    <w:rsid w:val="0063056B"/>
    <w:rsid w:val="006339C6"/>
    <w:rsid w:val="00633D13"/>
    <w:rsid w:val="006560E0"/>
    <w:rsid w:val="00672317"/>
    <w:rsid w:val="006A3A42"/>
    <w:rsid w:val="006B3B38"/>
    <w:rsid w:val="006B5F66"/>
    <w:rsid w:val="006C5B3E"/>
    <w:rsid w:val="006C6FE9"/>
    <w:rsid w:val="006F649A"/>
    <w:rsid w:val="007163F0"/>
    <w:rsid w:val="007364AC"/>
    <w:rsid w:val="0074122F"/>
    <w:rsid w:val="00785093"/>
    <w:rsid w:val="00796B1A"/>
    <w:rsid w:val="007B24AC"/>
    <w:rsid w:val="007C6CFC"/>
    <w:rsid w:val="007C7496"/>
    <w:rsid w:val="007D4081"/>
    <w:rsid w:val="007F21C8"/>
    <w:rsid w:val="007F638A"/>
    <w:rsid w:val="008246F0"/>
    <w:rsid w:val="0082664F"/>
    <w:rsid w:val="008278BE"/>
    <w:rsid w:val="00831D20"/>
    <w:rsid w:val="008357C6"/>
    <w:rsid w:val="0084751A"/>
    <w:rsid w:val="0085052E"/>
    <w:rsid w:val="0085763D"/>
    <w:rsid w:val="00873028"/>
    <w:rsid w:val="00880F1E"/>
    <w:rsid w:val="008D2E5C"/>
    <w:rsid w:val="00923744"/>
    <w:rsid w:val="00927FE6"/>
    <w:rsid w:val="009544B7"/>
    <w:rsid w:val="009626CD"/>
    <w:rsid w:val="009924A1"/>
    <w:rsid w:val="009A6378"/>
    <w:rsid w:val="009D78DD"/>
    <w:rsid w:val="009F51AA"/>
    <w:rsid w:val="00A109E1"/>
    <w:rsid w:val="00A47619"/>
    <w:rsid w:val="00A53A39"/>
    <w:rsid w:val="00A56D0D"/>
    <w:rsid w:val="00A61F63"/>
    <w:rsid w:val="00A6279D"/>
    <w:rsid w:val="00A6535E"/>
    <w:rsid w:val="00A84488"/>
    <w:rsid w:val="00A861D4"/>
    <w:rsid w:val="00A920D7"/>
    <w:rsid w:val="00AE1EA6"/>
    <w:rsid w:val="00B00E7B"/>
    <w:rsid w:val="00B05246"/>
    <w:rsid w:val="00B121CB"/>
    <w:rsid w:val="00B14A6D"/>
    <w:rsid w:val="00B20672"/>
    <w:rsid w:val="00B4368A"/>
    <w:rsid w:val="00B77848"/>
    <w:rsid w:val="00B778F8"/>
    <w:rsid w:val="00B860FE"/>
    <w:rsid w:val="00BA3F00"/>
    <w:rsid w:val="00BA7BED"/>
    <w:rsid w:val="00BB606C"/>
    <w:rsid w:val="00BC0571"/>
    <w:rsid w:val="00BD5C6D"/>
    <w:rsid w:val="00BD7E4A"/>
    <w:rsid w:val="00C402CC"/>
    <w:rsid w:val="00C463EF"/>
    <w:rsid w:val="00C51EA2"/>
    <w:rsid w:val="00C61539"/>
    <w:rsid w:val="00C621A4"/>
    <w:rsid w:val="00C975E8"/>
    <w:rsid w:val="00CA3CF1"/>
    <w:rsid w:val="00CC2CAD"/>
    <w:rsid w:val="00CC520B"/>
    <w:rsid w:val="00CE3518"/>
    <w:rsid w:val="00D0668B"/>
    <w:rsid w:val="00D51548"/>
    <w:rsid w:val="00D52417"/>
    <w:rsid w:val="00D646AC"/>
    <w:rsid w:val="00DB6BBE"/>
    <w:rsid w:val="00DC6E3F"/>
    <w:rsid w:val="00DD0460"/>
    <w:rsid w:val="00DE3650"/>
    <w:rsid w:val="00E17283"/>
    <w:rsid w:val="00E470B8"/>
    <w:rsid w:val="00E55AA8"/>
    <w:rsid w:val="00E565EA"/>
    <w:rsid w:val="00E66F45"/>
    <w:rsid w:val="00E9744D"/>
    <w:rsid w:val="00EB4C03"/>
    <w:rsid w:val="00EB4F25"/>
    <w:rsid w:val="00ED25CE"/>
    <w:rsid w:val="00F013AA"/>
    <w:rsid w:val="00F049A7"/>
    <w:rsid w:val="00F14B96"/>
    <w:rsid w:val="00F17C08"/>
    <w:rsid w:val="00F33388"/>
    <w:rsid w:val="00F36ADD"/>
    <w:rsid w:val="00F55B69"/>
    <w:rsid w:val="00F60654"/>
    <w:rsid w:val="00F702ED"/>
    <w:rsid w:val="00F92F33"/>
    <w:rsid w:val="00FC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7D1A7E"/>
  <w15:chartTrackingRefBased/>
  <w15:docId w15:val="{E6668735-E423-4F86-83D8-2CF83896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A7"/>
    <w:rPr>
      <w:rFonts w:ascii="Arial" w:hAnsi="Arial"/>
      <w:sz w:val="24"/>
      <w:szCs w:val="24"/>
    </w:rPr>
  </w:style>
  <w:style w:type="paragraph" w:styleId="Heading1">
    <w:name w:val="heading 1"/>
    <w:basedOn w:val="Normal"/>
    <w:next w:val="Normal"/>
    <w:link w:val="Heading1Char"/>
    <w:uiPriority w:val="1"/>
    <w:qFormat/>
    <w:rsid w:val="004053D0"/>
    <w:pPr>
      <w:spacing w:before="240" w:after="240" w:line="264" w:lineRule="auto"/>
      <w:outlineLvl w:val="0"/>
    </w:pPr>
    <w:rPr>
      <w:rFonts w:ascii="Arial Bold" w:eastAsia="Times New Roman" w:hAnsi="Arial Bold" w:cs="Arial"/>
      <w:b/>
      <w:sz w:val="36"/>
      <w:szCs w:val="36"/>
    </w:rPr>
  </w:style>
  <w:style w:type="paragraph" w:styleId="Heading2">
    <w:name w:val="heading 2"/>
    <w:basedOn w:val="Normal"/>
    <w:link w:val="Heading2Char"/>
    <w:uiPriority w:val="9"/>
    <w:qFormat/>
    <w:rsid w:val="00537E2D"/>
    <w:pPr>
      <w:spacing w:before="240" w:after="120" w:line="264" w:lineRule="auto"/>
      <w:outlineLvl w:val="1"/>
    </w:pPr>
    <w:rPr>
      <w:rFonts w:eastAsia="Calibri" w:cs="Arial"/>
      <w:b/>
      <w:sz w:val="28"/>
      <w:szCs w:val="28"/>
    </w:rPr>
  </w:style>
  <w:style w:type="paragraph" w:styleId="Heading3">
    <w:name w:val="heading 3"/>
    <w:basedOn w:val="Heading2"/>
    <w:link w:val="Heading3Char"/>
    <w:qFormat/>
    <w:rsid w:val="00B14A6D"/>
    <w:pPr>
      <w:keepNext/>
      <w:tabs>
        <w:tab w:val="num" w:pos="999"/>
        <w:tab w:val="num" w:pos="1440"/>
        <w:tab w:val="num" w:pos="3765"/>
        <w:tab w:val="num" w:pos="6175"/>
      </w:tabs>
      <w:ind w:left="1440"/>
      <w:outlineLvl w:val="2"/>
    </w:pPr>
    <w:rPr>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E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053D0"/>
    <w:rPr>
      <w:rFonts w:ascii="Arial Bold" w:eastAsia="Times New Roman" w:hAnsi="Arial Bold" w:cs="Arial"/>
      <w:b/>
      <w:sz w:val="36"/>
      <w:szCs w:val="36"/>
    </w:rPr>
  </w:style>
  <w:style w:type="character" w:styleId="Hyperlink">
    <w:name w:val="Hyperlink"/>
    <w:basedOn w:val="DefaultParagraphFont"/>
    <w:uiPriority w:val="99"/>
    <w:unhideWhenUsed/>
    <w:rsid w:val="00C463EF"/>
    <w:rPr>
      <w:color w:val="0000FF"/>
      <w:u w:val="single"/>
    </w:rPr>
  </w:style>
  <w:style w:type="paragraph" w:styleId="ListParagraph">
    <w:name w:val="List Paragraph"/>
    <w:basedOn w:val="Normal"/>
    <w:link w:val="ListParagraphChar"/>
    <w:uiPriority w:val="34"/>
    <w:qFormat/>
    <w:rsid w:val="0043143B"/>
    <w:pPr>
      <w:numPr>
        <w:numId w:val="46"/>
      </w:numPr>
      <w:contextualSpacing/>
      <w:jc w:val="both"/>
    </w:pPr>
    <w:rPr>
      <w:rFonts w:cs="Arial"/>
      <w:lang w:eastAsia="en-GB"/>
    </w:rPr>
  </w:style>
  <w:style w:type="paragraph" w:styleId="FootnoteText">
    <w:name w:val="footnote text"/>
    <w:basedOn w:val="Normal"/>
    <w:link w:val="FootnoteTextChar"/>
    <w:uiPriority w:val="99"/>
    <w:semiHidden/>
    <w:unhideWhenUsed/>
    <w:rsid w:val="00BD7E4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D7E4A"/>
    <w:rPr>
      <w:sz w:val="20"/>
      <w:szCs w:val="20"/>
    </w:rPr>
  </w:style>
  <w:style w:type="character" w:styleId="FootnoteReference">
    <w:name w:val="footnote reference"/>
    <w:basedOn w:val="DefaultParagraphFont"/>
    <w:uiPriority w:val="99"/>
    <w:semiHidden/>
    <w:unhideWhenUsed/>
    <w:rsid w:val="00BD7E4A"/>
    <w:rPr>
      <w:vertAlign w:val="superscript"/>
    </w:rPr>
  </w:style>
  <w:style w:type="character" w:styleId="UnresolvedMention">
    <w:name w:val="Unresolved Mention"/>
    <w:basedOn w:val="DefaultParagraphFont"/>
    <w:uiPriority w:val="99"/>
    <w:semiHidden/>
    <w:unhideWhenUsed/>
    <w:rsid w:val="00A56D0D"/>
    <w:rPr>
      <w:color w:val="605E5C"/>
      <w:shd w:val="clear" w:color="auto" w:fill="E1DFDD"/>
    </w:rPr>
  </w:style>
  <w:style w:type="paragraph" w:customStyle="1" w:styleId="Default">
    <w:name w:val="Default"/>
    <w:basedOn w:val="Normal"/>
    <w:rsid w:val="001E6737"/>
    <w:pPr>
      <w:autoSpaceDE w:val="0"/>
      <w:autoSpaceDN w:val="0"/>
      <w:spacing w:after="0" w:line="240" w:lineRule="auto"/>
    </w:pPr>
    <w:rPr>
      <w:rFonts w:cs="Arial"/>
      <w:color w:val="000000"/>
      <w:lang w:eastAsia="en-GB"/>
    </w:rPr>
  </w:style>
  <w:style w:type="character" w:styleId="FollowedHyperlink">
    <w:name w:val="FollowedHyperlink"/>
    <w:basedOn w:val="DefaultParagraphFont"/>
    <w:uiPriority w:val="99"/>
    <w:semiHidden/>
    <w:unhideWhenUsed/>
    <w:rsid w:val="00124885"/>
    <w:rPr>
      <w:color w:val="954F72" w:themeColor="followedHyperlink"/>
      <w:u w:val="single"/>
    </w:rPr>
  </w:style>
  <w:style w:type="character" w:styleId="Strong">
    <w:name w:val="Strong"/>
    <w:basedOn w:val="DefaultParagraphFont"/>
    <w:uiPriority w:val="22"/>
    <w:qFormat/>
    <w:rsid w:val="00F013AA"/>
    <w:rPr>
      <w:b/>
      <w:bCs/>
    </w:rPr>
  </w:style>
  <w:style w:type="paragraph" w:styleId="Header">
    <w:name w:val="header"/>
    <w:basedOn w:val="Normal"/>
    <w:link w:val="HeaderChar"/>
    <w:uiPriority w:val="99"/>
    <w:unhideWhenUsed/>
    <w:rsid w:val="00002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B09"/>
    <w:rPr>
      <w:rFonts w:ascii="Arial" w:hAnsi="Arial"/>
    </w:rPr>
  </w:style>
  <w:style w:type="paragraph" w:styleId="Footer">
    <w:name w:val="footer"/>
    <w:basedOn w:val="Normal"/>
    <w:link w:val="FooterChar"/>
    <w:uiPriority w:val="99"/>
    <w:unhideWhenUsed/>
    <w:rsid w:val="00002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B09"/>
    <w:rPr>
      <w:rFonts w:ascii="Arial" w:hAnsi="Arial"/>
    </w:rPr>
  </w:style>
  <w:style w:type="paragraph" w:styleId="NormalWeb">
    <w:name w:val="Normal (Web)"/>
    <w:basedOn w:val="Normal"/>
    <w:uiPriority w:val="99"/>
    <w:unhideWhenUsed/>
    <w:rsid w:val="00B778F8"/>
    <w:pPr>
      <w:spacing w:after="225"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37E2D"/>
    <w:rPr>
      <w:rFonts w:ascii="Arial" w:eastAsia="Calibri" w:hAnsi="Arial" w:cs="Arial"/>
      <w:b/>
      <w:sz w:val="28"/>
      <w:szCs w:val="28"/>
    </w:rPr>
  </w:style>
  <w:style w:type="character" w:customStyle="1" w:styleId="Heading3Char">
    <w:name w:val="Heading 3 Char"/>
    <w:basedOn w:val="DefaultParagraphFont"/>
    <w:link w:val="Heading3"/>
    <w:rsid w:val="00B14A6D"/>
    <w:rPr>
      <w:rFonts w:ascii="Arial" w:eastAsia="Times New Roman" w:hAnsi="Arial" w:cs="Arial"/>
      <w:kern w:val="32"/>
      <w:lang w:val="en-US" w:eastAsia="en-GB"/>
    </w:rPr>
  </w:style>
  <w:style w:type="character" w:customStyle="1" w:styleId="ListParagraphChar">
    <w:name w:val="List Paragraph Char"/>
    <w:link w:val="ListParagraph"/>
    <w:uiPriority w:val="34"/>
    <w:rsid w:val="0043143B"/>
    <w:rPr>
      <w:rFonts w:ascii="Arial" w:hAnsi="Arial" w:cs="Arial"/>
      <w:sz w:val="24"/>
      <w:szCs w:val="24"/>
      <w:lang w:eastAsia="en-GB"/>
    </w:rPr>
  </w:style>
  <w:style w:type="paragraph" w:styleId="TOCHeading">
    <w:name w:val="TOC Heading"/>
    <w:basedOn w:val="Heading1"/>
    <w:next w:val="Normal"/>
    <w:uiPriority w:val="39"/>
    <w:unhideWhenUsed/>
    <w:qFormat/>
    <w:rsid w:val="00330277"/>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4053D0"/>
    <w:pPr>
      <w:tabs>
        <w:tab w:val="right" w:leader="dot" w:pos="9016"/>
      </w:tabs>
      <w:spacing w:after="100"/>
      <w:ind w:left="220"/>
    </w:pPr>
  </w:style>
  <w:style w:type="paragraph" w:styleId="TOC1">
    <w:name w:val="toc 1"/>
    <w:basedOn w:val="Normal"/>
    <w:next w:val="Normal"/>
    <w:autoRedefine/>
    <w:uiPriority w:val="39"/>
    <w:unhideWhenUsed/>
    <w:rsid w:val="00330277"/>
    <w:pPr>
      <w:spacing w:after="100"/>
    </w:pPr>
  </w:style>
  <w:style w:type="character" w:styleId="CommentReference">
    <w:name w:val="annotation reference"/>
    <w:basedOn w:val="DefaultParagraphFont"/>
    <w:uiPriority w:val="99"/>
    <w:semiHidden/>
    <w:unhideWhenUsed/>
    <w:rsid w:val="00096873"/>
    <w:rPr>
      <w:sz w:val="16"/>
      <w:szCs w:val="16"/>
    </w:rPr>
  </w:style>
  <w:style w:type="paragraph" w:styleId="CommentText">
    <w:name w:val="annotation text"/>
    <w:basedOn w:val="Normal"/>
    <w:link w:val="CommentTextChar"/>
    <w:uiPriority w:val="99"/>
    <w:unhideWhenUsed/>
    <w:rsid w:val="00096873"/>
    <w:pPr>
      <w:spacing w:line="240" w:lineRule="auto"/>
    </w:pPr>
    <w:rPr>
      <w:sz w:val="20"/>
      <w:szCs w:val="20"/>
    </w:rPr>
  </w:style>
  <w:style w:type="character" w:customStyle="1" w:styleId="CommentTextChar">
    <w:name w:val="Comment Text Char"/>
    <w:basedOn w:val="DefaultParagraphFont"/>
    <w:link w:val="CommentText"/>
    <w:uiPriority w:val="99"/>
    <w:rsid w:val="000968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6873"/>
    <w:rPr>
      <w:b/>
      <w:bCs/>
    </w:rPr>
  </w:style>
  <w:style w:type="character" w:customStyle="1" w:styleId="CommentSubjectChar">
    <w:name w:val="Comment Subject Char"/>
    <w:basedOn w:val="CommentTextChar"/>
    <w:link w:val="CommentSubject"/>
    <w:uiPriority w:val="99"/>
    <w:semiHidden/>
    <w:rsid w:val="00096873"/>
    <w:rPr>
      <w:rFonts w:ascii="Arial" w:hAnsi="Arial"/>
      <w:b/>
      <w:bCs/>
      <w:sz w:val="20"/>
      <w:szCs w:val="20"/>
    </w:rPr>
  </w:style>
  <w:style w:type="paragraph" w:styleId="Revision">
    <w:name w:val="Revision"/>
    <w:hidden/>
    <w:uiPriority w:val="99"/>
    <w:semiHidden/>
    <w:rsid w:val="00096873"/>
    <w:pPr>
      <w:spacing w:after="0" w:line="240" w:lineRule="auto"/>
    </w:pPr>
    <w:rPr>
      <w:rFonts w:ascii="Arial" w:hAnsi="Arial"/>
    </w:rPr>
  </w:style>
  <w:style w:type="paragraph" w:styleId="NoSpacing">
    <w:name w:val="No Spacing"/>
    <w:aliases w:val="Bullet"/>
    <w:basedOn w:val="ListParagraph"/>
    <w:link w:val="NoSpacingChar"/>
    <w:qFormat/>
    <w:rsid w:val="00873028"/>
    <w:pPr>
      <w:spacing w:after="120" w:line="276" w:lineRule="auto"/>
      <w:ind w:left="850" w:hanging="425"/>
      <w:contextualSpacing w:val="0"/>
      <w:jc w:val="left"/>
    </w:pPr>
  </w:style>
  <w:style w:type="paragraph" w:styleId="BodyText">
    <w:name w:val="Body Text"/>
    <w:basedOn w:val="Normal"/>
    <w:link w:val="BodyTextChar"/>
    <w:unhideWhenUsed/>
    <w:qFormat/>
    <w:rsid w:val="005F062F"/>
    <w:pPr>
      <w:spacing w:after="0" w:line="276" w:lineRule="auto"/>
    </w:pPr>
    <w:rPr>
      <w:rFonts w:eastAsia="Calibri" w:cs="Arial"/>
    </w:rPr>
  </w:style>
  <w:style w:type="character" w:customStyle="1" w:styleId="BodyTextChar">
    <w:name w:val="Body Text Char"/>
    <w:basedOn w:val="DefaultParagraphFont"/>
    <w:link w:val="BodyText"/>
    <w:rsid w:val="005F062F"/>
    <w:rPr>
      <w:rFonts w:ascii="Arial" w:eastAsia="Calibri" w:hAnsi="Arial" w:cs="Arial"/>
      <w:sz w:val="24"/>
      <w:szCs w:val="24"/>
    </w:rPr>
  </w:style>
  <w:style w:type="paragraph" w:customStyle="1" w:styleId="Bullet2">
    <w:name w:val="Bullet 2"/>
    <w:basedOn w:val="NoSpacing"/>
    <w:link w:val="Bullet2Char"/>
    <w:qFormat/>
    <w:rsid w:val="007D4081"/>
    <w:pPr>
      <w:numPr>
        <w:numId w:val="54"/>
      </w:numPr>
      <w:tabs>
        <w:tab w:val="clear" w:pos="720"/>
        <w:tab w:val="num" w:pos="993"/>
      </w:tabs>
      <w:ind w:left="1276"/>
    </w:pPr>
  </w:style>
  <w:style w:type="character" w:customStyle="1" w:styleId="NoSpacingChar">
    <w:name w:val="No Spacing Char"/>
    <w:aliases w:val="Bullet Char"/>
    <w:basedOn w:val="ListParagraphChar"/>
    <w:link w:val="NoSpacing"/>
    <w:rsid w:val="00EB4F25"/>
    <w:rPr>
      <w:rFonts w:ascii="Arial" w:hAnsi="Arial" w:cs="Arial"/>
      <w:sz w:val="24"/>
      <w:szCs w:val="24"/>
      <w:lang w:eastAsia="en-GB"/>
    </w:rPr>
  </w:style>
  <w:style w:type="character" w:customStyle="1" w:styleId="Bullet2Char">
    <w:name w:val="Bullet 2 Char"/>
    <w:basedOn w:val="NoSpacingChar"/>
    <w:link w:val="Bullet2"/>
    <w:rsid w:val="007D4081"/>
    <w:rPr>
      <w:rFonts w:ascii="Arial" w:hAnsi="Arial" w:cs="Arial"/>
      <w:sz w:val="24"/>
      <w:szCs w:val="24"/>
      <w:lang w:eastAsia="en-GB"/>
    </w:rPr>
  </w:style>
  <w:style w:type="table" w:customStyle="1" w:styleId="TableGridLight1">
    <w:name w:val="Table Grid Light1"/>
    <w:basedOn w:val="TableNormal"/>
    <w:next w:val="TableGridLight"/>
    <w:uiPriority w:val="40"/>
    <w:rsid w:val="00442A1D"/>
    <w:pPr>
      <w:spacing w:after="0" w:line="240" w:lineRule="auto"/>
    </w:pPr>
    <w:rPr>
      <w:rFonts w:ascii="Arial" w:eastAsia="Calibri"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442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6843">
      <w:bodyDiv w:val="1"/>
      <w:marLeft w:val="0"/>
      <w:marRight w:val="0"/>
      <w:marTop w:val="0"/>
      <w:marBottom w:val="0"/>
      <w:divBdr>
        <w:top w:val="none" w:sz="0" w:space="0" w:color="auto"/>
        <w:left w:val="none" w:sz="0" w:space="0" w:color="auto"/>
        <w:bottom w:val="none" w:sz="0" w:space="0" w:color="auto"/>
        <w:right w:val="none" w:sz="0" w:space="0" w:color="auto"/>
      </w:divBdr>
      <w:divsChild>
        <w:div w:id="1148401811">
          <w:marLeft w:val="0"/>
          <w:marRight w:val="0"/>
          <w:marTop w:val="0"/>
          <w:marBottom w:val="0"/>
          <w:divBdr>
            <w:top w:val="none" w:sz="0" w:space="0" w:color="auto"/>
            <w:left w:val="none" w:sz="0" w:space="0" w:color="auto"/>
            <w:bottom w:val="none" w:sz="0" w:space="0" w:color="auto"/>
            <w:right w:val="none" w:sz="0" w:space="0" w:color="auto"/>
          </w:divBdr>
          <w:divsChild>
            <w:div w:id="262499150">
              <w:marLeft w:val="0"/>
              <w:marRight w:val="0"/>
              <w:marTop w:val="0"/>
              <w:marBottom w:val="0"/>
              <w:divBdr>
                <w:top w:val="none" w:sz="0" w:space="0" w:color="auto"/>
                <w:left w:val="none" w:sz="0" w:space="0" w:color="auto"/>
                <w:bottom w:val="none" w:sz="0" w:space="0" w:color="auto"/>
                <w:right w:val="none" w:sz="0" w:space="0" w:color="auto"/>
              </w:divBdr>
              <w:divsChild>
                <w:div w:id="1510294279">
                  <w:marLeft w:val="-225"/>
                  <w:marRight w:val="-225"/>
                  <w:marTop w:val="0"/>
                  <w:marBottom w:val="0"/>
                  <w:divBdr>
                    <w:top w:val="none" w:sz="0" w:space="0" w:color="auto"/>
                    <w:left w:val="none" w:sz="0" w:space="0" w:color="auto"/>
                    <w:bottom w:val="none" w:sz="0" w:space="0" w:color="auto"/>
                    <w:right w:val="none" w:sz="0" w:space="0" w:color="auto"/>
                  </w:divBdr>
                  <w:divsChild>
                    <w:div w:id="283925429">
                      <w:marLeft w:val="0"/>
                      <w:marRight w:val="0"/>
                      <w:marTop w:val="0"/>
                      <w:marBottom w:val="0"/>
                      <w:divBdr>
                        <w:top w:val="none" w:sz="0" w:space="0" w:color="auto"/>
                        <w:left w:val="none" w:sz="0" w:space="0" w:color="auto"/>
                        <w:bottom w:val="none" w:sz="0" w:space="0" w:color="auto"/>
                        <w:right w:val="none" w:sz="0" w:space="0" w:color="auto"/>
                      </w:divBdr>
                      <w:divsChild>
                        <w:div w:id="16940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tnlcommunityfund.org.uk/media/documents/Annual-Report-2016.pdf?mtime=20181031094658"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uk/ukpga/2014/23/contents/enact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astsussexsab.org.uk/documents/information-sharing-guide-and-protocol-2/" TargetMode="External"/><Relationship Id="rId20" Type="http://schemas.openxmlformats.org/officeDocument/2006/relationships/hyperlink" Target="https://www.eastsussexsab.org.uk/documents/east-sussex-mental-capacity-multi-agency-policy-and-procedu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ocal.gov.uk/publications/adult-safeguarding-and-homelessness-experience-informed-practice" TargetMode="External"/><Relationship Id="rId5" Type="http://schemas.openxmlformats.org/officeDocument/2006/relationships/customXml" Target="../customXml/item5.xml"/><Relationship Id="rId15" Type="http://schemas.openxmlformats.org/officeDocument/2006/relationships/hyperlink" Target="https://www.sussexsafeguardingadults.org/" TargetMode="External"/><Relationship Id="rId23" Type="http://schemas.openxmlformats.org/officeDocument/2006/relationships/hyperlink" Target="https://www.bht.org.uk/wp-content/uploads/2021/07/Asset-based-Working-Research-Report.doc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gov.uk/ukpga/2005/9/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sab.org.uk/documents/adult-c-sar-published-december-2020-2/" TargetMode="External"/><Relationship Id="rId22" Type="http://schemas.openxmlformats.org/officeDocument/2006/relationships/hyperlink" Target="https://www.local.gov.uk/publications/adult-safeguarding-and-homelessness-briefing-positive-pract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7C596517FE54C9A5DACEF902652C4" ma:contentTypeVersion="2" ma:contentTypeDescription="Create a new document." ma:contentTypeScope="" ma:versionID="7af68fcafb437eb8550d37baedf657fc">
  <xsd:schema xmlns:xsd="http://www.w3.org/2001/XMLSchema" xmlns:xs="http://www.w3.org/2001/XMLSchema" xmlns:p="http://schemas.microsoft.com/office/2006/metadata/properties" targetNamespace="http://schemas.microsoft.com/office/2006/metadata/properties" ma:root="true" ma:fieldsID="0522756db403374730644c35daf62c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8849DFA7-0F11-46E4-86E0-EF1E454EA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942714-4934-477D-A3FC-49C6092ABD63}">
  <ds:schemaRefs>
    <ds:schemaRef ds:uri="http://schemas.openxmlformats.org/officeDocument/2006/bibliography"/>
  </ds:schemaRefs>
</ds:datastoreItem>
</file>

<file path=customXml/itemProps3.xml><?xml version="1.0" encoding="utf-8"?>
<ds:datastoreItem xmlns:ds="http://schemas.openxmlformats.org/officeDocument/2006/customXml" ds:itemID="{891D9D78-52B7-4D5D-954F-C0B0099A227B}">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2617D03-3FAC-4C68-8FB2-906DF7589D07}">
  <ds:schemaRefs>
    <ds:schemaRef ds:uri="http://schemas.microsoft.com/sharepoint/v3/contenttype/forms"/>
  </ds:schemaRefs>
</ds:datastoreItem>
</file>

<file path=customXml/itemProps5.xml><?xml version="1.0" encoding="utf-8"?>
<ds:datastoreItem xmlns:ds="http://schemas.openxmlformats.org/officeDocument/2006/customXml" ds:itemID="{B25748F8-4C01-41B9-8F8D-0A6B01BC57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Assessing and Supporting People with Multiple and Complex Needs Guidance</vt:lpstr>
    </vt:vector>
  </TitlesOfParts>
  <Company>East Sussex Safeguarding Adults Board</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Supporting People with Multiple and Complex Needs Guidance</dc:title>
  <dc:subject/>
  <dc:creator>George Kouridis</dc:creator>
  <cp:keywords/>
  <dc:description/>
  <cp:lastModifiedBy>Sophie Watson</cp:lastModifiedBy>
  <cp:revision>2</cp:revision>
  <cp:lastPrinted>2021-12-16T15:15:00Z</cp:lastPrinted>
  <dcterms:created xsi:type="dcterms:W3CDTF">2024-05-29T13:56:00Z</dcterms:created>
  <dcterms:modified xsi:type="dcterms:W3CDTF">2024-05-29T13:56:00Z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0x0101007FB7C596517FE54C9A5DACEF902652C4</vt:lpwstr>
  </property>
  <property fmtid="{D5CDD505-2E9C-101B-9397-08002B2CF9AE}" pid="3" name="IsMyDocuments">
    <vt:bool>true</vt:bool>
  </property>
</Properties>
</file>